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90" w:rsidRDefault="00EB3584">
      <w:r w:rsidRPr="00EB3584">
        <w:rPr>
          <w:b/>
          <w:bCs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4.25pt;width:407.7pt;height:65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p8FgIAACwEAAAOAAAAZHJzL2Uyb0RvYy54bWysU9tu2zAMfR+wfxD0vjjJ4qUx4hRdugwD&#10;ugvQ7QMUWbaFyaJGKbG7rx8lp2l2exmmB0EUqUPy8Gh9PXSGHRV6Dbbks8mUM2UlVNo2Jf/yeffi&#10;ijMfhK2EAatK/qA8v948f7buXaHm0IKpFDICsb7oXcnbEFyRZV62qhN+Ak5ZctaAnQhkYpNVKHpC&#10;70w2n05fZT1g5RCk8p5ub0cn3yT8ulYyfKxrrwIzJafaQtox7fu4Z5u1KBoUrtXyVIb4hyo6oS0l&#10;PUPdiiDYAfVvUJ2WCB7qMJHQZVDXWqrUA3Uzm/7SzX0rnEq9EDnenWny/w9Wfjjeu0/IwvAaBhpg&#10;asK7O5BfPbOwbYVt1A0i9K0SFSWeRcqy3vni9DRS7QsfQfb9e6hoyOIQIAENNXaRFeqTEToN4OFM&#10;uhoCk3SZz5bL5YpcknxXL/PVcpmnHKJ4fO7Qh7cKOhYPJUeaaoIXxzsfYjmieAyJ2TwYXe20McnA&#10;Zr81yI6CFLBL64T+U5ixrC/5Kp/nIwN/hZim9SeITgeSstEdtXEOEkXk7Y2tktCC0GY8U8nGnoiM&#10;3I0shmE/UGAkdA/VA1GKMEqWvhgdWsDvnPUk15L7bweBijPzztJYVrPFIuo7GYt8OScDLz37S4+w&#10;kqBKHjgbj9sw/omDQ920lGkUgoUbGmWtE8lPVZ3qJkkm7k/fJ2r+0k5RT5988wMAAP//AwBQSwME&#10;FAAGAAgAAAAhAM6bsX/fAAAACQEAAA8AAABkcnMvZG93bnJldi54bWxMj8FOwzAQRO9I/IO1SFxQ&#10;6zS0xYQ4FUICwQ0Kgqsbb5MIex1iNw1/z3KC42hGM2/KzeSdGHGIXSANi3kGAqkOtqNGw9vr/UyB&#10;iMmQNS4QavjGCJvq9KQ0hQ1HesFxmxrBJRQLo6FNqS+kjHWL3sR56JHY24fBm8RyaKQdzJHLvZN5&#10;lq2lNx3xQmt6vGux/twevAa1fBw/4tPl83u93rvrdHE1PnwNWp+fTbc3IBJO6S8Mv/iMDhUz7cKB&#10;bBROAx9JGma5WoFgWy1WSxA7zuVKZSCrUv5/UP0AAAD//wMAUEsBAi0AFAAGAAgAAAAhALaDOJL+&#10;AAAA4QEAABMAAAAAAAAAAAAAAAAAAAAAAFtDb250ZW50X1R5cGVzXS54bWxQSwECLQAUAAYACAAA&#10;ACEAOP0h/9YAAACUAQAACwAAAAAAAAAAAAAAAAAvAQAAX3JlbHMvLnJlbHNQSwECLQAUAAYACAAA&#10;ACEA9yIKfBYCAAAsBAAADgAAAAAAAAAAAAAAAAAuAgAAZHJzL2Uyb0RvYy54bWxQSwECLQAUAAYA&#10;CAAAACEAzpuxf98AAAAJAQAADwAAAAAAAAAAAAAAAABwBAAAZHJzL2Rvd25yZXYueG1sUEsFBgAA&#10;AAAEAAQA8wAAAHwFAAAAAA==&#10;">
            <v:textbox>
              <w:txbxContent>
                <w:p w:rsidR="00350C90" w:rsidRDefault="00350C90" w:rsidP="00350C9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350C90" w:rsidRPr="00805291" w:rsidRDefault="00350C90" w:rsidP="00350C90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350C90" w:rsidRPr="00805291" w:rsidRDefault="00350C90" w:rsidP="00350C90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350C90" w:rsidRPr="0075556D" w:rsidRDefault="00350C90" w:rsidP="00350C90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350C90" w:rsidRPr="00350C90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sz w:val="36"/>
                      <w:szCs w:val="36"/>
                    </w:rPr>
                  </w:pPr>
                  <w:r w:rsidRPr="00350C90">
                    <w:rPr>
                      <w:rFonts w:ascii="Verdana" w:hAnsi="Verdana" w:cs="Arial"/>
                      <w:b/>
                      <w:sz w:val="36"/>
                      <w:szCs w:val="36"/>
                    </w:rPr>
                    <w:t>Anexo às Demonstrações Financeiras</w:t>
                  </w:r>
                </w:p>
                <w:p w:rsidR="00350C90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sz w:val="40"/>
                      <w:szCs w:val="40"/>
                    </w:rPr>
                  </w:pPr>
                </w:p>
                <w:p w:rsidR="00350C90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sz w:val="40"/>
                      <w:szCs w:val="40"/>
                    </w:rPr>
                  </w:pP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sz w:val="48"/>
                      <w:szCs w:val="48"/>
                    </w:rPr>
                  </w:pP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sz w:val="48"/>
                      <w:szCs w:val="48"/>
                    </w:rPr>
                  </w:pPr>
                </w:p>
                <w:p w:rsidR="002771AA" w:rsidRPr="0075556D" w:rsidRDefault="00350C90" w:rsidP="002771AA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ind w:left="1416"/>
                    <w:rPr>
                      <w:rFonts w:ascii="Verdana" w:hAnsi="Verdana" w:cs="Arial"/>
                      <w:b/>
                    </w:rPr>
                  </w:pPr>
                  <w:r w:rsidRPr="0075556D">
                    <w:rPr>
                      <w:rFonts w:ascii="Verdana" w:hAnsi="Verdana" w:cs="Arial"/>
                      <w:b/>
                    </w:rPr>
                    <w:t xml:space="preserve">Exercício Económico: </w:t>
                  </w:r>
                  <w:r>
                    <w:rPr>
                      <w:rFonts w:ascii="Verdana" w:hAnsi="Verdana" w:cs="Arial"/>
                      <w:b/>
                    </w:rPr>
                    <w:t>20</w:t>
                  </w:r>
                  <w:r w:rsidR="00DC2354">
                    <w:rPr>
                      <w:rFonts w:ascii="Verdana" w:hAnsi="Verdana" w:cs="Arial"/>
                      <w:b/>
                    </w:rPr>
                    <w:t>2</w:t>
                  </w:r>
                  <w:r w:rsidR="00C81194">
                    <w:rPr>
                      <w:rFonts w:ascii="Verdana" w:hAnsi="Verdana" w:cs="Arial"/>
                      <w:b/>
                    </w:rPr>
                    <w:t>2</w:t>
                  </w: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sz w:val="48"/>
                      <w:szCs w:val="48"/>
                    </w:rPr>
                  </w:pP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sz w:val="48"/>
                      <w:szCs w:val="48"/>
                    </w:rPr>
                  </w:pPr>
                  <w:r w:rsidRPr="00DD2967">
                    <w:rPr>
                      <w:rFonts w:ascii="Arial" w:hAnsi="Arial" w:cs="Arial"/>
                      <w:outline/>
                      <w:noProof/>
                      <w:color w:val="808080"/>
                      <w:lang w:eastAsia="pt-PT"/>
                    </w:rPr>
                    <w:drawing>
                      <wp:inline distT="0" distB="0" distL="0" distR="0">
                        <wp:extent cx="1390650" cy="1325969"/>
                        <wp:effectExtent l="19050" t="0" r="0" b="0"/>
                        <wp:docPr id="2" name="Imagem 1" descr="logotipo 2peque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ipo 2peque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25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0C90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sz w:val="48"/>
                      <w:szCs w:val="48"/>
                    </w:rPr>
                  </w:pP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sz w:val="48"/>
                      <w:szCs w:val="48"/>
                    </w:rPr>
                  </w:pP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350C90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Associação de Bem Estar Social</w:t>
                  </w: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Da Freguesia de Sant Cruz</w:t>
                  </w: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Ademas Caixa Postal 7621</w:t>
                  </w: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</w:rPr>
                  </w:pPr>
                  <w:r w:rsidRPr="0075556D">
                    <w:rPr>
                      <w:rFonts w:ascii="Verdana" w:hAnsi="Verdana" w:cs="Arial"/>
                    </w:rPr>
                    <w:t>75</w:t>
                  </w:r>
                  <w:r>
                    <w:rPr>
                      <w:rFonts w:ascii="Verdana" w:hAnsi="Verdana" w:cs="Arial"/>
                    </w:rPr>
                    <w:t>40-051 Santa Cruz</w:t>
                  </w:r>
                </w:p>
                <w:p w:rsidR="00350C90" w:rsidRPr="0075556D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</w:rPr>
                  </w:pPr>
                  <w:proofErr w:type="spellStart"/>
                  <w:r w:rsidRPr="0075556D">
                    <w:rPr>
                      <w:rFonts w:ascii="Verdana" w:hAnsi="Verdana" w:cs="Arial"/>
                    </w:rPr>
                    <w:t>Cont</w:t>
                  </w:r>
                  <w:proofErr w:type="spellEnd"/>
                  <w:r w:rsidRPr="0075556D">
                    <w:rPr>
                      <w:rFonts w:ascii="Verdana" w:hAnsi="Verdana" w:cs="Arial"/>
                    </w:rPr>
                    <w:t xml:space="preserve">: </w:t>
                  </w:r>
                  <w:r>
                    <w:rPr>
                      <w:rFonts w:ascii="Verdana" w:hAnsi="Verdana" w:cs="Arial"/>
                    </w:rPr>
                    <w:t>504 611 690</w:t>
                  </w:r>
                </w:p>
                <w:p w:rsidR="00350C90" w:rsidRPr="00D6062A" w:rsidRDefault="00350C90" w:rsidP="00350C90">
                  <w:pPr>
                    <w:tabs>
                      <w:tab w:val="left" w:pos="145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350C90"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0326313"/>
        <w:docPartObj>
          <w:docPartGallery w:val="Table of Contents"/>
          <w:docPartUnique/>
        </w:docPartObj>
      </w:sdtPr>
      <w:sdtContent>
        <w:p w:rsidR="00180C82" w:rsidRDefault="007C0C1F">
          <w:pPr>
            <w:pStyle w:val="Ttulodondice"/>
          </w:pPr>
          <w:r>
            <w:t>C</w:t>
          </w:r>
          <w:r w:rsidR="00180C82">
            <w:t>onteúdo</w:t>
          </w:r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 w:rsidR="00180C82">
            <w:instrText xml:space="preserve"> TOC \o "1-3" \h \z \u </w:instrText>
          </w:r>
          <w:r>
            <w:fldChar w:fldCharType="separate"/>
          </w:r>
          <w:hyperlink w:anchor="_Toc78212512" w:history="1">
            <w:r w:rsidR="005830C5" w:rsidRPr="00754A5A">
              <w:rPr>
                <w:rStyle w:val="Hiperligao"/>
                <w:noProof/>
              </w:rPr>
              <w:t>1 Identificação da Entidade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13" w:history="1">
            <w:r w:rsidR="005830C5" w:rsidRPr="00754A5A">
              <w:rPr>
                <w:rStyle w:val="Hiperligao"/>
                <w:noProof/>
              </w:rPr>
              <w:t>2 Referencial Contabilístico de Preparação das Demonstrações Financeiras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14" w:history="1">
            <w:r w:rsidR="005830C5" w:rsidRPr="00754A5A">
              <w:rPr>
                <w:rStyle w:val="Hiperligao"/>
                <w:noProof/>
              </w:rPr>
              <w:t>3 Políticas Contabilísticas, alterações nas estimativas contabilísticas e erros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15" w:history="1">
            <w:r w:rsidR="005830C5" w:rsidRPr="00754A5A">
              <w:rPr>
                <w:rStyle w:val="Hiperligao"/>
                <w:noProof/>
              </w:rPr>
              <w:t>3.1 Bases de Apresentação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16" w:history="1">
            <w:r w:rsidR="005830C5" w:rsidRPr="00754A5A">
              <w:rPr>
                <w:rStyle w:val="Hiperligao"/>
                <w:noProof/>
              </w:rPr>
              <w:t>3.1.1 Continuidade: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17" w:history="1">
            <w:r w:rsidR="005830C5" w:rsidRPr="00754A5A">
              <w:rPr>
                <w:rStyle w:val="Hiperligao"/>
                <w:noProof/>
              </w:rPr>
              <w:t>3.1.2 Regime do Acréscimo (periodização económica):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18" w:history="1">
            <w:r w:rsidR="005830C5" w:rsidRPr="00754A5A">
              <w:rPr>
                <w:rStyle w:val="Hiperligao"/>
                <w:noProof/>
              </w:rPr>
              <w:t>3.1.3 Consistência de Apresentação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19" w:history="1">
            <w:r w:rsidR="005830C5" w:rsidRPr="00754A5A">
              <w:rPr>
                <w:rStyle w:val="Hiperligao"/>
                <w:noProof/>
              </w:rPr>
              <w:t>3.1.4 Materialidade e Agregação: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0" w:history="1">
            <w:r w:rsidR="005830C5" w:rsidRPr="00754A5A">
              <w:rPr>
                <w:rStyle w:val="Hiperligao"/>
                <w:noProof/>
              </w:rPr>
              <w:t>3.1.5 Compensação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1" w:history="1">
            <w:r w:rsidR="005830C5" w:rsidRPr="00754A5A">
              <w:rPr>
                <w:rStyle w:val="Hiperligao"/>
                <w:noProof/>
              </w:rPr>
              <w:t>3.1.6 Informação Comparativa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2" w:history="1">
            <w:r w:rsidR="005830C5" w:rsidRPr="00754A5A">
              <w:rPr>
                <w:rStyle w:val="Hiperligao"/>
                <w:noProof/>
              </w:rPr>
              <w:t>3.2 Políticas de Reconhecimento e Mensuração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3" w:history="1">
            <w:r w:rsidR="005830C5" w:rsidRPr="00754A5A">
              <w:rPr>
                <w:rStyle w:val="Hiperligao"/>
                <w:noProof/>
              </w:rPr>
              <w:t>3.2.1 Ativos Fixos Tangíveis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4" w:history="1">
            <w:r w:rsidR="005830C5" w:rsidRPr="00754A5A">
              <w:rPr>
                <w:rStyle w:val="Hiperligao"/>
                <w:noProof/>
              </w:rPr>
              <w:t>3.2.2 Ativos Intangíveis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5" w:history="1">
            <w:r w:rsidR="005830C5" w:rsidRPr="00754A5A">
              <w:rPr>
                <w:rStyle w:val="Hiperligao"/>
                <w:noProof/>
              </w:rPr>
              <w:t>3.2.3 Investimentos financeiros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6" w:history="1">
            <w:r w:rsidR="005830C5" w:rsidRPr="00754A5A">
              <w:rPr>
                <w:rStyle w:val="Hiperligao"/>
                <w:noProof/>
              </w:rPr>
              <w:t>3.2.4 Inventários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7" w:history="1">
            <w:r w:rsidR="005830C5" w:rsidRPr="00754A5A">
              <w:rPr>
                <w:rStyle w:val="Hiperligao"/>
                <w:noProof/>
              </w:rPr>
              <w:t>3.2.5 Instrumentos Financeiros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8" w:history="1">
            <w:r w:rsidR="005830C5" w:rsidRPr="00754A5A">
              <w:rPr>
                <w:rStyle w:val="Hiperligao"/>
                <w:noProof/>
              </w:rPr>
              <w:t>3.2.6 Impostos Sobre o Rendimento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29" w:history="1">
            <w:r w:rsidR="005830C5" w:rsidRPr="00754A5A">
              <w:rPr>
                <w:rStyle w:val="Hiperligao"/>
                <w:noProof/>
              </w:rPr>
              <w:t>4 Ativos Fixos Tangíveis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0" w:history="1">
            <w:r w:rsidR="005830C5" w:rsidRPr="00754A5A">
              <w:rPr>
                <w:rStyle w:val="Hiperligao"/>
                <w:noProof/>
              </w:rPr>
              <w:t>5 Ativos Intangíveis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1" w:history="1">
            <w:r w:rsidR="005830C5" w:rsidRPr="00754A5A">
              <w:rPr>
                <w:rStyle w:val="Hiperligao"/>
                <w:noProof/>
              </w:rPr>
              <w:t>6 Investimentos Financeiros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2" w:history="1">
            <w:r w:rsidR="005830C5" w:rsidRPr="00754A5A">
              <w:rPr>
                <w:rStyle w:val="Hiperligao"/>
                <w:noProof/>
              </w:rPr>
              <w:t>7 Inventários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3" w:history="1">
            <w:r w:rsidR="005830C5" w:rsidRPr="00754A5A">
              <w:rPr>
                <w:rStyle w:val="Hiperligao"/>
                <w:noProof/>
              </w:rPr>
              <w:t>8 Rendimentos e gastos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4" w:history="1">
            <w:r w:rsidR="005830C5" w:rsidRPr="00754A5A">
              <w:rPr>
                <w:rStyle w:val="Hiperligao"/>
                <w:noProof/>
              </w:rPr>
              <w:t>9 Subsídios do Governo e apoios do Governo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5" w:history="1">
            <w:r w:rsidR="005830C5" w:rsidRPr="00754A5A">
              <w:rPr>
                <w:rStyle w:val="Hiperligao"/>
                <w:noProof/>
              </w:rPr>
              <w:t>10 Benefícios dos empregados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6" w:history="1">
            <w:r w:rsidR="005830C5" w:rsidRPr="00754A5A">
              <w:rPr>
                <w:rStyle w:val="Hiperligao"/>
                <w:noProof/>
              </w:rPr>
              <w:t>11 Divulgações exigidas por outros diplomas legais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7" w:history="1">
            <w:r w:rsidR="005830C5" w:rsidRPr="00754A5A">
              <w:rPr>
                <w:rStyle w:val="Hiperligao"/>
                <w:noProof/>
              </w:rPr>
              <w:t>12 Outras divulgações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8" w:history="1">
            <w:r w:rsidR="005830C5" w:rsidRPr="00754A5A">
              <w:rPr>
                <w:rStyle w:val="Hiperligao"/>
                <w:noProof/>
              </w:rPr>
              <w:t>12.1 Créditos a receber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39" w:history="1">
            <w:r w:rsidR="005830C5" w:rsidRPr="00754A5A">
              <w:rPr>
                <w:rStyle w:val="Hiperligao"/>
                <w:noProof/>
              </w:rPr>
              <w:t>12.2 Outros ativos correntes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0" w:history="1">
            <w:r w:rsidR="005830C5" w:rsidRPr="00754A5A">
              <w:rPr>
                <w:rStyle w:val="Hiperligao"/>
                <w:noProof/>
              </w:rPr>
              <w:t>12.3 Diferimentos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1" w:history="1">
            <w:r w:rsidR="005830C5" w:rsidRPr="00754A5A">
              <w:rPr>
                <w:rStyle w:val="Hiperligao"/>
                <w:noProof/>
              </w:rPr>
              <w:t>12.4 Caixa e Depósitos Bancários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2" w:history="1">
            <w:r w:rsidR="005830C5" w:rsidRPr="00754A5A">
              <w:rPr>
                <w:rStyle w:val="Hiperligao"/>
                <w:noProof/>
              </w:rPr>
              <w:t>12.5 Fundos Patrimoniais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3" w:history="1">
            <w:r w:rsidR="005830C5" w:rsidRPr="00754A5A">
              <w:rPr>
                <w:rStyle w:val="Hiperligao"/>
                <w:noProof/>
              </w:rPr>
              <w:t>12.6 Fornecedores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4" w:history="1">
            <w:r w:rsidR="005830C5" w:rsidRPr="00754A5A">
              <w:rPr>
                <w:rStyle w:val="Hiperligao"/>
                <w:noProof/>
              </w:rPr>
              <w:t>12.7 Estado e Outros Entes Públicos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5" w:history="1">
            <w:r w:rsidR="005830C5" w:rsidRPr="00754A5A">
              <w:rPr>
                <w:rStyle w:val="Hiperligao"/>
                <w:noProof/>
              </w:rPr>
              <w:t>12.8 Outros passivos correntes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6" w:history="1">
            <w:r w:rsidR="005830C5" w:rsidRPr="00754A5A">
              <w:rPr>
                <w:rStyle w:val="Hiperligao"/>
                <w:noProof/>
              </w:rPr>
              <w:t>12.9 Subsídios, doações e legados à exploração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7" w:history="1">
            <w:r w:rsidR="005830C5" w:rsidRPr="00754A5A">
              <w:rPr>
                <w:rStyle w:val="Hiperligao"/>
                <w:noProof/>
              </w:rPr>
              <w:t>12.10 Fornecimentos e serviços externos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8" w:history="1">
            <w:r w:rsidR="005830C5" w:rsidRPr="00754A5A">
              <w:rPr>
                <w:rStyle w:val="Hiperligao"/>
                <w:noProof/>
              </w:rPr>
              <w:t>12.11 Outros rendimentos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49" w:history="1">
            <w:r w:rsidR="005830C5" w:rsidRPr="00754A5A">
              <w:rPr>
                <w:rStyle w:val="Hiperligao"/>
                <w:noProof/>
              </w:rPr>
              <w:t>12.12 Outros gastos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8212550" w:history="1">
            <w:r w:rsidR="005830C5" w:rsidRPr="00754A5A">
              <w:rPr>
                <w:rStyle w:val="Hiperligao"/>
                <w:noProof/>
              </w:rPr>
              <w:t>12.13 Resultados Financeiros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C5" w:rsidRDefault="00EB35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78212551" w:history="1">
            <w:r w:rsidR="005830C5" w:rsidRPr="00754A5A">
              <w:rPr>
                <w:rStyle w:val="Hiperligao"/>
                <w:noProof/>
              </w:rPr>
              <w:t>12.14 Fundadores/beneméritos/patrocionadores/doadores/associados/membros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7CE" w:rsidRPr="00A477CE" w:rsidRDefault="00A477CE" w:rsidP="00A477CE">
          <w:pPr>
            <w:rPr>
              <w:noProof/>
            </w:rPr>
          </w:pPr>
          <w:r>
            <w:rPr>
              <w:noProof/>
            </w:rPr>
            <w:t xml:space="preserve">    12.15 Financiamentos </w:t>
          </w:r>
          <w:r w:rsidR="00580463">
            <w:rPr>
              <w:noProof/>
            </w:rPr>
            <w:t>obtidos…</w:t>
          </w:r>
          <w:r>
            <w:rPr>
              <w:noProof/>
            </w:rPr>
            <w:t>………………………………………………………………………………………</w:t>
          </w:r>
          <w:r w:rsidR="00BC3BC4">
            <w:rPr>
              <w:noProof/>
            </w:rPr>
            <w:t>…</w:t>
          </w:r>
          <w:r w:rsidR="008B6EE0">
            <w:rPr>
              <w:noProof/>
            </w:rPr>
            <w:t>.</w:t>
          </w:r>
          <w:r>
            <w:rPr>
              <w:noProof/>
            </w:rPr>
            <w:t>15</w:t>
          </w:r>
        </w:p>
        <w:p w:rsidR="003A224F" w:rsidRPr="003A224F" w:rsidRDefault="00EB3584" w:rsidP="003A224F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78212552" w:history="1">
            <w:r w:rsidR="005830C5" w:rsidRPr="00754A5A">
              <w:rPr>
                <w:rStyle w:val="Hiperligao"/>
                <w:noProof/>
              </w:rPr>
              <w:t>12.16 Outras divulgações consideradas relevantes, para melhor compreensão da posição financeira e dos resultados</w:t>
            </w:r>
            <w:r w:rsidR="005830C5">
              <w:rPr>
                <w:noProof/>
                <w:webHidden/>
              </w:rPr>
              <w:tab/>
            </w:r>
            <w:r w:rsidR="003A224F">
              <w:rPr>
                <w:noProof/>
                <w:webHidden/>
              </w:rPr>
              <w:t>15</w:t>
            </w:r>
          </w:hyperlink>
        </w:p>
        <w:p w:rsidR="00180C82" w:rsidRDefault="00EB3584" w:rsidP="008871B8">
          <w:pPr>
            <w:pStyle w:val="ndice2"/>
            <w:tabs>
              <w:tab w:val="right" w:leader="dot" w:pos="8494"/>
            </w:tabs>
          </w:pPr>
          <w:hyperlink w:anchor="_Toc78212553" w:history="1">
            <w:r w:rsidR="005830C5" w:rsidRPr="00754A5A">
              <w:rPr>
                <w:rStyle w:val="Hiperligao"/>
                <w:noProof/>
              </w:rPr>
              <w:t>12.17 Acontecimentos após data de Balanço</w:t>
            </w:r>
            <w:r w:rsidR="005830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C5">
              <w:rPr>
                <w:noProof/>
                <w:webHidden/>
              </w:rPr>
              <w:instrText xml:space="preserve"> PAGEREF _Toc78212553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5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B330B3" w:rsidRDefault="00B330B3" w:rsidP="00B330B3"/>
    <w:p w:rsidR="0071497C" w:rsidRPr="0071497C" w:rsidRDefault="0071497C" w:rsidP="00C20743">
      <w:pPr>
        <w:pStyle w:val="Ttulo1"/>
      </w:pPr>
      <w:bookmarkStart w:id="0" w:name="_Toc78212512"/>
      <w:r w:rsidRPr="0071497C">
        <w:lastRenderedPageBreak/>
        <w:t>1 Identificação da Entidade</w:t>
      </w:r>
      <w:bookmarkEnd w:id="0"/>
      <w:r w:rsidRPr="0071497C">
        <w:t xml:space="preserve"> </w:t>
      </w:r>
    </w:p>
    <w:p w:rsidR="0071497C" w:rsidRPr="0071497C" w:rsidRDefault="001834E2" w:rsidP="00D32A89">
      <w:pPr>
        <w:jc w:val="both"/>
      </w:pPr>
      <w:r>
        <w:t>A ASSOCIAÇÃO DE BEM ESTAR SOCIAL DA FREGUESIA DE SANTA CRUZ</w:t>
      </w:r>
      <w:r w:rsidR="0071497C" w:rsidRPr="0071497C">
        <w:t xml:space="preserve"> é uma instituição sem fins lucrativos, constituída sob a forma de “IPSS” </w:t>
      </w:r>
      <w:r w:rsidR="00E241C5">
        <w:t xml:space="preserve">em 29 de Setembro de 1998 e registada em 21 de Abril de 1999 no livro nº 7 das Associações de Solidariedade </w:t>
      </w:r>
      <w:proofErr w:type="gramStart"/>
      <w:r w:rsidR="00E241C5">
        <w:t>Social ,</w:t>
      </w:r>
      <w:proofErr w:type="gramEnd"/>
      <w:r w:rsidR="00E241C5">
        <w:t xml:space="preserve"> sob o nº 40/99.</w:t>
      </w:r>
    </w:p>
    <w:p w:rsidR="0071497C" w:rsidRPr="0071497C" w:rsidRDefault="0071497C" w:rsidP="00D32A89">
      <w:pPr>
        <w:jc w:val="both"/>
      </w:pPr>
      <w:r w:rsidRPr="0071497C">
        <w:t xml:space="preserve">Tem sede </w:t>
      </w:r>
      <w:r w:rsidR="001834E2">
        <w:t>em Ademas</w:t>
      </w:r>
      <w:r w:rsidRPr="0071497C">
        <w:t xml:space="preserve">, </w:t>
      </w:r>
      <w:r w:rsidR="001834E2">
        <w:t>Caixa Postal 7621, 7540</w:t>
      </w:r>
      <w:r w:rsidRPr="0071497C">
        <w:t>-</w:t>
      </w:r>
      <w:r w:rsidR="001834E2">
        <w:t>051</w:t>
      </w:r>
      <w:r w:rsidRPr="0071497C">
        <w:t xml:space="preserve">, </w:t>
      </w:r>
      <w:r w:rsidR="001834E2">
        <w:t>Santa Cruz</w:t>
      </w:r>
      <w:r w:rsidRPr="0071497C">
        <w:t xml:space="preserve">. </w:t>
      </w:r>
    </w:p>
    <w:p w:rsidR="0071497C" w:rsidRPr="0071497C" w:rsidRDefault="0071497C" w:rsidP="00D32A89">
      <w:pPr>
        <w:jc w:val="both"/>
      </w:pPr>
      <w:r w:rsidRPr="0071497C">
        <w:t>Desenvolve como atividade principal a ação social</w:t>
      </w:r>
      <w:r w:rsidR="00E241C5">
        <w:t xml:space="preserve">, com </w:t>
      </w:r>
      <w:r w:rsidR="009D1BB3">
        <w:t>as valências</w:t>
      </w:r>
      <w:r w:rsidR="00E241C5">
        <w:t xml:space="preserve"> de Centro de Dia, Apoio </w:t>
      </w:r>
      <w:r w:rsidR="00D32A89">
        <w:t>Domiciliário</w:t>
      </w:r>
      <w:r w:rsidR="00E241C5">
        <w:t xml:space="preserve"> e ATL</w:t>
      </w:r>
      <w:r w:rsidRPr="0071497C">
        <w:t xml:space="preserve">. </w:t>
      </w:r>
    </w:p>
    <w:p w:rsidR="0071497C" w:rsidRPr="0071497C" w:rsidRDefault="0071497C" w:rsidP="00C20743">
      <w:pPr>
        <w:pStyle w:val="Ttulo1"/>
      </w:pPr>
      <w:bookmarkStart w:id="1" w:name="_Toc78212513"/>
      <w:r w:rsidRPr="0071497C">
        <w:t>2 Referencial Contabilístico de Preparação das Demonstrações Financeiras</w:t>
      </w:r>
      <w:bookmarkEnd w:id="1"/>
      <w:r w:rsidRPr="0071497C">
        <w:t xml:space="preserve"> </w:t>
      </w:r>
    </w:p>
    <w:p w:rsidR="0071497C" w:rsidRPr="0071497C" w:rsidRDefault="0071497C" w:rsidP="00D32A89">
      <w:pPr>
        <w:jc w:val="both"/>
      </w:pPr>
      <w:r w:rsidRPr="0071497C">
        <w:t xml:space="preserve">Em </w:t>
      </w:r>
      <w:r w:rsidR="00FA760B">
        <w:t>202</w:t>
      </w:r>
      <w:r w:rsidR="001E03EF">
        <w:t>2</w:t>
      </w:r>
      <w:r w:rsidRPr="0071497C">
        <w:t xml:space="preserve"> as Demonstrações Financeiras foram elaboradas no pressuposto da continuidade das operações a partir dos registos contabilísticos da Entidade e de acordo com a Norma Contabilística e de Relato Financeiro para as Entidades do Sector Não Lucrativo (NCRF-ESNL) aprovado pelo Decreto-Lei n.º 36-A/2011 de 9 de Março. No Anexo II do referido Decreto, refere que o Sistema de Normalização para Entidades do Sector Não Lucrativo é composto </w:t>
      </w:r>
      <w:proofErr w:type="gramStart"/>
      <w:r w:rsidRPr="0071497C">
        <w:t>por</w:t>
      </w:r>
      <w:proofErr w:type="gramEnd"/>
      <w:r w:rsidRPr="0071497C">
        <w:t xml:space="preserve">: </w:t>
      </w:r>
    </w:p>
    <w:p w:rsidR="0071497C" w:rsidRPr="0071497C" w:rsidRDefault="0071497C" w:rsidP="00D32A89">
      <w:pPr>
        <w:jc w:val="both"/>
      </w:pPr>
      <w:r w:rsidRPr="0071497C">
        <w:t xml:space="preserve"> </w:t>
      </w:r>
      <w:proofErr w:type="gramStart"/>
      <w:r w:rsidRPr="0071497C">
        <w:t>Bases para</w:t>
      </w:r>
      <w:proofErr w:type="gramEnd"/>
      <w:r w:rsidRPr="0071497C">
        <w:t xml:space="preserve"> a Apresentação das Demonstrações Financeiras (BADF); </w:t>
      </w:r>
    </w:p>
    <w:p w:rsidR="0071497C" w:rsidRPr="0071497C" w:rsidRDefault="0071497C" w:rsidP="00D32A89">
      <w:pPr>
        <w:jc w:val="both"/>
      </w:pPr>
      <w:r w:rsidRPr="0071497C">
        <w:t xml:space="preserve"> Modelos de Demonstrações Financeiras (MDF) – Portaria n.º 220/2015 de 24 de Julho; </w:t>
      </w:r>
    </w:p>
    <w:p w:rsidR="0071497C" w:rsidRPr="0071497C" w:rsidRDefault="0071497C" w:rsidP="00D32A89">
      <w:pPr>
        <w:jc w:val="both"/>
      </w:pPr>
      <w:r w:rsidRPr="0071497C">
        <w:t xml:space="preserve"> Código de Contas (CC) – Portaria n.º 218/2015 de 23 de Julho; </w:t>
      </w:r>
    </w:p>
    <w:p w:rsidR="0071497C" w:rsidRPr="0071497C" w:rsidRDefault="0071497C" w:rsidP="00D32A89">
      <w:pPr>
        <w:jc w:val="both"/>
      </w:pPr>
      <w:r w:rsidRPr="0071497C">
        <w:t xml:space="preserve"> NCRF-ESNL – Aviso n.º 8259/2015 de 29 de Julho; </w:t>
      </w:r>
    </w:p>
    <w:p w:rsidR="0071497C" w:rsidRPr="0071497C" w:rsidRDefault="0071497C" w:rsidP="00D32A89">
      <w:pPr>
        <w:jc w:val="both"/>
      </w:pPr>
      <w:r w:rsidRPr="0071497C">
        <w:t xml:space="preserve"> Normas Interpretativas (NI) </w:t>
      </w:r>
    </w:p>
    <w:p w:rsidR="0071497C" w:rsidRPr="0071497C" w:rsidRDefault="0071497C" w:rsidP="00D32A89">
      <w:pPr>
        <w:jc w:val="both"/>
      </w:pPr>
    </w:p>
    <w:p w:rsidR="0071497C" w:rsidRPr="0071497C" w:rsidRDefault="0071497C" w:rsidP="00C20743">
      <w:pPr>
        <w:pStyle w:val="Ttulo1"/>
      </w:pPr>
      <w:bookmarkStart w:id="2" w:name="_Toc78212514"/>
      <w:r w:rsidRPr="0071497C">
        <w:t>3 Políticas Contabilísticas, alterações nas estimativas contabilísticas e erros</w:t>
      </w:r>
      <w:bookmarkEnd w:id="2"/>
      <w:r w:rsidRPr="0071497C">
        <w:t xml:space="preserve"> </w:t>
      </w:r>
    </w:p>
    <w:p w:rsidR="0071497C" w:rsidRPr="0071497C" w:rsidRDefault="0071497C" w:rsidP="00D32A89">
      <w:pPr>
        <w:jc w:val="both"/>
      </w:pPr>
      <w:r w:rsidRPr="0071497C">
        <w:t xml:space="preserve">Não se verificaram quaisquer efeitos resultantes de alteração voluntária em políticas contabilísticas. </w:t>
      </w:r>
    </w:p>
    <w:p w:rsidR="0071497C" w:rsidRDefault="0071497C" w:rsidP="00D32A89">
      <w:pPr>
        <w:jc w:val="both"/>
      </w:pPr>
      <w:r w:rsidRPr="0071497C">
        <w:t xml:space="preserve">As principais políticas contabilísticas aplicadas pela Entidade na elaboração das Demonstrações Financeiras foram as seguintes: </w:t>
      </w:r>
    </w:p>
    <w:p w:rsidR="00180C82" w:rsidRPr="0071497C" w:rsidRDefault="00180C82" w:rsidP="00D32A89">
      <w:pPr>
        <w:jc w:val="both"/>
      </w:pPr>
    </w:p>
    <w:p w:rsidR="0071497C" w:rsidRPr="0071497C" w:rsidRDefault="0071497C" w:rsidP="00C20743">
      <w:pPr>
        <w:pStyle w:val="Ttulo2"/>
      </w:pPr>
      <w:bookmarkStart w:id="3" w:name="_Toc78212515"/>
      <w:r w:rsidRPr="0071497C">
        <w:t>3.1 Bases de Apresentação</w:t>
      </w:r>
      <w:bookmarkEnd w:id="3"/>
      <w:r w:rsidRPr="0071497C">
        <w:t xml:space="preserve"> </w:t>
      </w:r>
    </w:p>
    <w:p w:rsidR="0071497C" w:rsidRDefault="0071497C" w:rsidP="00D32A89">
      <w:pPr>
        <w:jc w:val="both"/>
      </w:pPr>
      <w:r w:rsidRPr="0071497C">
        <w:t>As Demonstrações Financeiras foram preparadas de acordo com as Bases de Apresentação das Demonstrações Financeiras (BADF)</w:t>
      </w:r>
    </w:p>
    <w:p w:rsidR="00180C82" w:rsidRDefault="00180C82" w:rsidP="00D32A89">
      <w:pPr>
        <w:jc w:val="both"/>
      </w:pPr>
    </w:p>
    <w:p w:rsidR="00D32A89" w:rsidRDefault="00D32A89" w:rsidP="00C20743">
      <w:pPr>
        <w:pStyle w:val="Ttulo3"/>
      </w:pPr>
      <w:bookmarkStart w:id="4" w:name="_Toc78212516"/>
      <w:r>
        <w:t>3.1.1 Continuidade:</w:t>
      </w:r>
      <w:bookmarkEnd w:id="4"/>
      <w:r>
        <w:t xml:space="preserve">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 base na informação disponível e as expectativas futuras, a Entidade continuará a operar no futuro previsível, assumindo não há a intenção nem a necessidade de liquidar ou de reduzir consideravelmente o nível das suas operações. Para as Entidades do Sector Não Lucrativo, este </w:t>
      </w:r>
      <w:r>
        <w:rPr>
          <w:sz w:val="22"/>
          <w:szCs w:val="22"/>
        </w:rPr>
        <w:lastRenderedPageBreak/>
        <w:t xml:space="preserve">pressuposto não corresponde a um conceito económico ou financeiro, mas sim à manutenção da atividade de prestação de serviços ou à capacidade de cumprir os seus fins. </w:t>
      </w:r>
    </w:p>
    <w:p w:rsidR="00D32A89" w:rsidRDefault="00D32A89" w:rsidP="00180C82">
      <w:pPr>
        <w:pStyle w:val="Ttulo3"/>
      </w:pPr>
      <w:bookmarkStart w:id="5" w:name="_Toc78212517"/>
      <w:r>
        <w:t>3.1.2 Regime do Acréscimo (periodização económica):</w:t>
      </w:r>
      <w:bookmarkEnd w:id="5"/>
      <w:r>
        <w:t xml:space="preserve">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Os efeitos das transações e de outros acontecimentos são reconhecidos quando eles ocorram (satisfeitas as definições e os critérios de reconhecimento de acordo com a estrutura conceptual, independentemente do momento do pagamento ou do recebimento) sendo registados contabilisticamente e relatados nas demonstrações financeiras dos períodos com os quais se relacionem. As diferenças entre os montantes recebidos e pagos e os correspondentes rendimentos e gastos são registados nas respetivas contas das rubricas “Devedores e credores por acréscimos” e “Diferimentos”.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32A89" w:rsidRDefault="00D32A89" w:rsidP="00180C82">
      <w:pPr>
        <w:pStyle w:val="Ttulo3"/>
      </w:pPr>
      <w:bookmarkStart w:id="6" w:name="_Toc78212518"/>
      <w:r>
        <w:t>3.1.3 Consistência de Apresentação</w:t>
      </w:r>
      <w:bookmarkEnd w:id="6"/>
      <w:r>
        <w:t xml:space="preserve">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Demonstrações Financeiras estão consistentes de um período para o outro, quer a nível da apresentação quer dos movimentos contabilísticos que lhes dão origem, exceto quando ocorrem alterações significativas na natureza que, nesse caso, estão devidamente identificadas e justificadas neste Anexo. Desta forma é proporcionada informação fiável e mais relevante para os utentes. </w:t>
      </w:r>
    </w:p>
    <w:p w:rsidR="00D32A89" w:rsidRDefault="00D32A89" w:rsidP="00D32A89">
      <w:pPr>
        <w:pStyle w:val="Default"/>
        <w:jc w:val="both"/>
        <w:rPr>
          <w:b/>
          <w:bCs/>
          <w:sz w:val="22"/>
          <w:szCs w:val="22"/>
        </w:rPr>
      </w:pPr>
    </w:p>
    <w:p w:rsidR="00D32A89" w:rsidRDefault="00D32A89" w:rsidP="00180C82">
      <w:pPr>
        <w:pStyle w:val="Ttulo3"/>
      </w:pPr>
      <w:bookmarkStart w:id="7" w:name="_Toc78212519"/>
      <w:r>
        <w:t>3.1.4 Materialidade e Agregação:</w:t>
      </w:r>
      <w:bookmarkEnd w:id="7"/>
      <w:r>
        <w:t xml:space="preserve">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relevância da informação é afetada pela sua natureza e materialidade. A materialidade depende da quantificação da omissão ou erro. A informação é material se a sua omissão ou inexatidão influenciarem as decisões económicas tomadas por parte dos utentes das demonstrações financeiras. Itens que não são materialmente relevantes para justificar a sua apresentação separada nas demonstrações financeiras podem ser materialmente relevantes para que sejam discriminados nas notas deste anexo. </w:t>
      </w:r>
    </w:p>
    <w:p w:rsidR="00180C82" w:rsidRDefault="00180C82" w:rsidP="00D32A89">
      <w:pPr>
        <w:pStyle w:val="Default"/>
        <w:jc w:val="both"/>
        <w:rPr>
          <w:sz w:val="22"/>
          <w:szCs w:val="22"/>
        </w:rPr>
      </w:pPr>
    </w:p>
    <w:p w:rsidR="00D32A89" w:rsidRDefault="00D32A89" w:rsidP="00D32A89">
      <w:pPr>
        <w:pStyle w:val="Default"/>
        <w:jc w:val="both"/>
        <w:rPr>
          <w:b/>
          <w:bCs/>
          <w:sz w:val="22"/>
          <w:szCs w:val="22"/>
        </w:rPr>
      </w:pPr>
    </w:p>
    <w:p w:rsidR="00D32A89" w:rsidRDefault="00D32A89" w:rsidP="00C20743">
      <w:pPr>
        <w:pStyle w:val="Ttulo3"/>
      </w:pPr>
      <w:bookmarkStart w:id="8" w:name="_Toc78212520"/>
      <w:r>
        <w:t>3.1.5 Compensação</w:t>
      </w:r>
      <w:bookmarkEnd w:id="8"/>
      <w:r>
        <w:t xml:space="preserve"> </w:t>
      </w:r>
    </w:p>
    <w:p w:rsidR="00D32A89" w:rsidRDefault="00D32A89" w:rsidP="00D32A89">
      <w:pPr>
        <w:jc w:val="both"/>
      </w:pPr>
      <w:r>
        <w:t>Devido à importância dos ativos e passivos serem relatados separadamente, assim como os gastos e os rendimentos, estes não devem ser compensados.</w:t>
      </w:r>
    </w:p>
    <w:p w:rsidR="00C20743" w:rsidRDefault="00C20743" w:rsidP="00D32A89">
      <w:pPr>
        <w:jc w:val="both"/>
      </w:pPr>
    </w:p>
    <w:p w:rsidR="00D32A89" w:rsidRDefault="00D32A89" w:rsidP="00C20743">
      <w:pPr>
        <w:pStyle w:val="Ttulo3"/>
      </w:pPr>
      <w:bookmarkStart w:id="9" w:name="_Toc78212521"/>
      <w:r>
        <w:t>3.1.6 Informação Comparativa</w:t>
      </w:r>
      <w:bookmarkEnd w:id="9"/>
      <w:r>
        <w:t xml:space="preserve">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informação comparativa deve ser divulgada, nas Demonstrações Financeiras, com respeito ao período anterior. Respeitando ao Princípio da Continuidade da Entidade, as políticas contabilísticas devem ser levadas a efeito de maneira consistente em toda a Entidade e ao longo do tempo. Procedendo-se a alterações das políticas contabilísticas, as quantias comparativas afetadas pela reclassificação devem ser divulgadas, tendo em conta: </w:t>
      </w:r>
    </w:p>
    <w:p w:rsidR="00D32A89" w:rsidRDefault="00D32A89" w:rsidP="00D32A89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natureza da reclassificação; </w:t>
      </w:r>
    </w:p>
    <w:p w:rsidR="00D32A89" w:rsidRDefault="00D32A89" w:rsidP="00D32A89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quantia de cada item ou classe de itens que tenha sido reclassificada;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Razão para a reclassificação.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</w:p>
    <w:p w:rsidR="00D32A89" w:rsidRDefault="00D32A89" w:rsidP="00C20743">
      <w:pPr>
        <w:pStyle w:val="Ttulo2"/>
      </w:pPr>
      <w:bookmarkStart w:id="10" w:name="_Toc78212522"/>
      <w:r>
        <w:lastRenderedPageBreak/>
        <w:t>3.2 Políticas de Reconhecimento e Mensuração</w:t>
      </w:r>
      <w:bookmarkEnd w:id="10"/>
      <w:r>
        <w:t xml:space="preserve"> </w:t>
      </w:r>
    </w:p>
    <w:p w:rsidR="00D32A89" w:rsidRDefault="00D32A89" w:rsidP="00C20743">
      <w:pPr>
        <w:pStyle w:val="Ttulo3"/>
      </w:pPr>
      <w:bookmarkStart w:id="11" w:name="_Toc78212523"/>
      <w:r>
        <w:t>3.2.1 Ativos Fixos Tangíveis</w:t>
      </w:r>
      <w:bookmarkEnd w:id="11"/>
      <w:r>
        <w:t xml:space="preserve">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“Ativos Fixos Tangíveis” encontram-se registados ao custo de aquisição ou de produção, deduzido das depreciações e das perdas por imparidade acumuladas. O custo de aquisição ou produção inicialmente registado inclui o custo de compra, quaisquer custos diretamente atribuíveis às atividades necessárias para colocar os ativos na localização e condição necessárias para operarem da forma pretendida.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ativos que foram atribuídos à Entidade a título gratuito encontram-se mensurados ao seu justo valor, ao valor pelo qual estão segurados ou ao valor pelo qual figuravam na contabilidade do doador.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despesas subsequentes que a Entidade tenha com manutenção e reparação dos ativos são registadas como gastos no período em que são </w:t>
      </w:r>
      <w:proofErr w:type="gramStart"/>
      <w:r>
        <w:rPr>
          <w:sz w:val="22"/>
          <w:szCs w:val="22"/>
        </w:rPr>
        <w:t>incorridas</w:t>
      </w:r>
      <w:proofErr w:type="gramEnd"/>
      <w:r>
        <w:rPr>
          <w:sz w:val="22"/>
          <w:szCs w:val="22"/>
        </w:rPr>
        <w:t xml:space="preserve">, desde que não sejam suscetíveis de gerar benefícios económicos futuros adicionais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depreciações são calculadas, assim que os bens estão em condições de ser utilizados, pelo método da linha reta, em conformidade com o período de vida útil estimado para cada grupo de bens, em sistema de duodécimos. 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  <w:r w:rsidRPr="00D32A89">
        <w:rPr>
          <w:sz w:val="22"/>
          <w:szCs w:val="22"/>
        </w:rPr>
        <w:t>As taxas de depreciação utilizadas correspondem aos períodos de vida útil estimada que se encontra na tabela abaixo:</w:t>
      </w:r>
    </w:p>
    <w:p w:rsidR="00D32A89" w:rsidRDefault="00D32A89" w:rsidP="00D32A89">
      <w:pPr>
        <w:pStyle w:val="Default"/>
        <w:jc w:val="both"/>
        <w:rPr>
          <w:sz w:val="22"/>
          <w:szCs w:val="22"/>
        </w:rPr>
      </w:pPr>
    </w:p>
    <w:tbl>
      <w:tblPr>
        <w:tblStyle w:val="Tabelacomgrelha"/>
        <w:tblW w:w="0" w:type="auto"/>
        <w:tblLook w:val="04A0"/>
      </w:tblPr>
      <w:tblGrid>
        <w:gridCol w:w="4247"/>
        <w:gridCol w:w="4247"/>
      </w:tblGrid>
      <w:tr w:rsidR="00D32A89" w:rsidTr="00D32A89">
        <w:tc>
          <w:tcPr>
            <w:tcW w:w="4247" w:type="dxa"/>
          </w:tcPr>
          <w:p w:rsidR="00D32A89" w:rsidRDefault="00D32A89" w:rsidP="00D557B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Edificios</w:t>
            </w:r>
            <w:proofErr w:type="spellEnd"/>
            <w:r>
              <w:rPr>
                <w:sz w:val="22"/>
                <w:szCs w:val="22"/>
              </w:rPr>
              <w:t xml:space="preserve"> e Outras Construções</w:t>
            </w:r>
          </w:p>
        </w:tc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Anos</w:t>
            </w:r>
          </w:p>
        </w:tc>
      </w:tr>
      <w:tr w:rsidR="00D32A89" w:rsidTr="00D32A89"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Equipamento </w:t>
            </w:r>
            <w:proofErr w:type="spellStart"/>
            <w:r>
              <w:rPr>
                <w:sz w:val="22"/>
                <w:szCs w:val="22"/>
              </w:rPr>
              <w:t>Basico</w:t>
            </w:r>
            <w:proofErr w:type="spellEnd"/>
          </w:p>
        </w:tc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Anos</w:t>
            </w:r>
          </w:p>
        </w:tc>
      </w:tr>
      <w:tr w:rsidR="00D32A89" w:rsidTr="00D32A89"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Equipamento de Transporte</w:t>
            </w:r>
          </w:p>
        </w:tc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Anos</w:t>
            </w:r>
          </w:p>
        </w:tc>
      </w:tr>
      <w:tr w:rsidR="00D32A89" w:rsidTr="00D32A89"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Equipamento Administrativo</w:t>
            </w:r>
          </w:p>
        </w:tc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Anos</w:t>
            </w:r>
          </w:p>
        </w:tc>
      </w:tr>
      <w:tr w:rsidR="00D32A89" w:rsidTr="00D32A89"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Equipamento Informático</w:t>
            </w:r>
          </w:p>
        </w:tc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Anos</w:t>
            </w:r>
          </w:p>
        </w:tc>
      </w:tr>
      <w:tr w:rsidR="00D32A89" w:rsidTr="00D32A89"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 Ativos Fixos Tangíveis</w:t>
            </w:r>
          </w:p>
        </w:tc>
        <w:tc>
          <w:tcPr>
            <w:tcW w:w="4247" w:type="dxa"/>
          </w:tcPr>
          <w:p w:rsidR="00D32A89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Anos</w:t>
            </w:r>
          </w:p>
        </w:tc>
      </w:tr>
    </w:tbl>
    <w:p w:rsidR="00D32A89" w:rsidRDefault="00D32A89" w:rsidP="00D32A89">
      <w:pPr>
        <w:pStyle w:val="Default"/>
        <w:jc w:val="both"/>
        <w:rPr>
          <w:sz w:val="22"/>
          <w:szCs w:val="22"/>
        </w:rPr>
      </w:pPr>
    </w:p>
    <w:p w:rsidR="00D557BA" w:rsidRPr="00D557BA" w:rsidRDefault="00D557BA" w:rsidP="00D557BA">
      <w:pPr>
        <w:pStyle w:val="Default"/>
        <w:jc w:val="both"/>
        <w:rPr>
          <w:sz w:val="22"/>
          <w:szCs w:val="22"/>
        </w:rPr>
      </w:pPr>
      <w:r w:rsidRPr="00D557BA">
        <w:rPr>
          <w:sz w:val="22"/>
          <w:szCs w:val="22"/>
        </w:rPr>
        <w:t xml:space="preserve">Os elementos de reduzido valor são depreciados a 100%, conforme estipulado no artigo 19º do Decreto Regulamentar nº. 25/2009 </w:t>
      </w:r>
      <w:proofErr w:type="gramStart"/>
      <w:r w:rsidRPr="00D557BA">
        <w:rPr>
          <w:sz w:val="22"/>
          <w:szCs w:val="22"/>
        </w:rPr>
        <w:t>de</w:t>
      </w:r>
      <w:proofErr w:type="gramEnd"/>
      <w:r w:rsidRPr="00D557BA">
        <w:rPr>
          <w:sz w:val="22"/>
          <w:szCs w:val="22"/>
        </w:rPr>
        <w:t xml:space="preserve"> 14/9.</w:t>
      </w:r>
    </w:p>
    <w:p w:rsidR="00D557BA" w:rsidRPr="00D557BA" w:rsidRDefault="00D557BA" w:rsidP="00D557BA">
      <w:pPr>
        <w:pStyle w:val="Default"/>
        <w:jc w:val="both"/>
        <w:rPr>
          <w:sz w:val="22"/>
          <w:szCs w:val="22"/>
        </w:rPr>
      </w:pPr>
      <w:r w:rsidRPr="00D557BA">
        <w:rPr>
          <w:sz w:val="22"/>
          <w:szCs w:val="22"/>
        </w:rPr>
        <w:t>A Entidade revê anualmente a vida útil de cada ativo, assim como o seu respetivo valor residual quando este exista.</w:t>
      </w:r>
    </w:p>
    <w:p w:rsidR="00D557BA" w:rsidRDefault="00D557BA" w:rsidP="00D557BA">
      <w:pPr>
        <w:pStyle w:val="Default"/>
        <w:jc w:val="both"/>
        <w:rPr>
          <w:sz w:val="22"/>
          <w:szCs w:val="22"/>
        </w:rPr>
      </w:pPr>
      <w:r w:rsidRPr="00D557BA">
        <w:rPr>
          <w:sz w:val="22"/>
          <w:szCs w:val="22"/>
        </w:rPr>
        <w:t xml:space="preserve">O </w:t>
      </w:r>
      <w:proofErr w:type="spellStart"/>
      <w:r w:rsidRPr="00D557BA">
        <w:rPr>
          <w:sz w:val="22"/>
          <w:szCs w:val="22"/>
        </w:rPr>
        <w:t>desreconhecimento</w:t>
      </w:r>
      <w:proofErr w:type="spellEnd"/>
      <w:r w:rsidRPr="00D557BA">
        <w:rPr>
          <w:sz w:val="22"/>
          <w:szCs w:val="22"/>
        </w:rPr>
        <w:t xml:space="preserve"> dos ativos fixos tangíveis, resultantes da venda ou abate são determinados pela diferença entre o preço de venda e valor líquido contabilístico na data de alienação ou abate, sendo registadas na Demonstração de Resultados nas rubricas “Gastos e perdas em investimentos não financeiros” ou “Rendimentos e ganhos em investimentos não financeiros”.</w:t>
      </w:r>
    </w:p>
    <w:p w:rsidR="00C20743" w:rsidRDefault="00C20743" w:rsidP="00D557BA">
      <w:pPr>
        <w:pStyle w:val="Default"/>
        <w:jc w:val="both"/>
        <w:rPr>
          <w:sz w:val="22"/>
          <w:szCs w:val="22"/>
        </w:rPr>
      </w:pPr>
    </w:p>
    <w:p w:rsidR="00180C82" w:rsidRPr="00D557BA" w:rsidRDefault="00180C82" w:rsidP="00D557BA">
      <w:pPr>
        <w:pStyle w:val="Default"/>
        <w:jc w:val="both"/>
        <w:rPr>
          <w:sz w:val="22"/>
          <w:szCs w:val="22"/>
        </w:rPr>
      </w:pPr>
    </w:p>
    <w:p w:rsidR="00D557BA" w:rsidRPr="00D557BA" w:rsidRDefault="00D557BA" w:rsidP="00C20743">
      <w:pPr>
        <w:pStyle w:val="Ttulo3"/>
      </w:pPr>
      <w:bookmarkStart w:id="12" w:name="_Toc78212524"/>
      <w:r w:rsidRPr="00D557BA">
        <w:t>3.2.2 Ativos Intangíveis</w:t>
      </w:r>
      <w:bookmarkEnd w:id="12"/>
    </w:p>
    <w:p w:rsidR="00D557BA" w:rsidRPr="00D557BA" w:rsidRDefault="00D557BA" w:rsidP="00D557BA">
      <w:pPr>
        <w:pStyle w:val="Default"/>
        <w:jc w:val="both"/>
        <w:rPr>
          <w:sz w:val="22"/>
          <w:szCs w:val="22"/>
        </w:rPr>
      </w:pPr>
      <w:r w:rsidRPr="00D557BA">
        <w:rPr>
          <w:sz w:val="22"/>
          <w:szCs w:val="22"/>
        </w:rPr>
        <w:t>Os “Ativos Intangíveis” encontram-se registados ao custo de aquisição, deduzido das amortizações e de eventuais perdas por imparidade acumuladas. São reconhecidos apenas quando for provável que deles advenham benefícios económicos futuros para a Entidade e que os mesmos possam ser mensurados com fiabilidade.</w:t>
      </w:r>
    </w:p>
    <w:p w:rsidR="00D557BA" w:rsidRPr="00D557BA" w:rsidRDefault="00D557BA" w:rsidP="00D557BA">
      <w:pPr>
        <w:pStyle w:val="Default"/>
        <w:jc w:val="both"/>
        <w:rPr>
          <w:sz w:val="22"/>
          <w:szCs w:val="22"/>
        </w:rPr>
      </w:pPr>
      <w:r w:rsidRPr="00D557BA">
        <w:rPr>
          <w:sz w:val="22"/>
          <w:szCs w:val="22"/>
        </w:rPr>
        <w:t>As amortizações são calculadas, assim que os bens estão em condições de ser utilizados, pelo método da linha reta, em conformidade com o período de vida útil estimado para cada grupo de bens, em sistema de duodécimos.</w:t>
      </w:r>
    </w:p>
    <w:p w:rsidR="00D557BA" w:rsidRDefault="00D557BA" w:rsidP="00D557BA">
      <w:pPr>
        <w:pStyle w:val="Default"/>
        <w:jc w:val="both"/>
        <w:rPr>
          <w:sz w:val="22"/>
          <w:szCs w:val="22"/>
        </w:rPr>
      </w:pPr>
      <w:r w:rsidRPr="00D557BA">
        <w:rPr>
          <w:sz w:val="22"/>
          <w:szCs w:val="22"/>
        </w:rPr>
        <w:t>As taxas de amortização utilizadas correspondem aos períodos de vida útil estimada que se encontra na tabela abaixo:</w:t>
      </w:r>
    </w:p>
    <w:p w:rsidR="00D557BA" w:rsidRDefault="00D557BA" w:rsidP="00D557BA">
      <w:pPr>
        <w:pStyle w:val="Default"/>
        <w:jc w:val="both"/>
        <w:rPr>
          <w:sz w:val="22"/>
          <w:szCs w:val="22"/>
        </w:rPr>
      </w:pPr>
    </w:p>
    <w:tbl>
      <w:tblPr>
        <w:tblStyle w:val="Tabelacomgrelha"/>
        <w:tblW w:w="0" w:type="auto"/>
        <w:tblLook w:val="04A0"/>
      </w:tblPr>
      <w:tblGrid>
        <w:gridCol w:w="4247"/>
        <w:gridCol w:w="4247"/>
      </w:tblGrid>
      <w:tr w:rsidR="00D557BA" w:rsidTr="00D557BA">
        <w:tc>
          <w:tcPr>
            <w:tcW w:w="4247" w:type="dxa"/>
          </w:tcPr>
          <w:p w:rsidR="00D557BA" w:rsidRPr="00D557BA" w:rsidRDefault="00D557BA" w:rsidP="00D557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47" w:type="dxa"/>
          </w:tcPr>
          <w:p w:rsidR="00D557BA" w:rsidRPr="00D557BA" w:rsidRDefault="00D557BA" w:rsidP="00D557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57BA">
              <w:rPr>
                <w:b/>
                <w:bCs/>
                <w:sz w:val="22"/>
                <w:szCs w:val="22"/>
              </w:rPr>
              <w:t xml:space="preserve">Vida </w:t>
            </w:r>
            <w:proofErr w:type="spellStart"/>
            <w:r w:rsidRPr="00D557BA">
              <w:rPr>
                <w:b/>
                <w:bCs/>
                <w:sz w:val="22"/>
                <w:szCs w:val="22"/>
              </w:rPr>
              <w:t>Ùtil</w:t>
            </w:r>
            <w:proofErr w:type="spellEnd"/>
            <w:r w:rsidRPr="00D557BA">
              <w:rPr>
                <w:b/>
                <w:bCs/>
                <w:sz w:val="22"/>
                <w:szCs w:val="22"/>
              </w:rPr>
              <w:t xml:space="preserve"> estimada</w:t>
            </w:r>
            <w:r>
              <w:rPr>
                <w:b/>
                <w:bCs/>
                <w:sz w:val="22"/>
                <w:szCs w:val="22"/>
              </w:rPr>
              <w:t xml:space="preserve"> (Anos)</w:t>
            </w:r>
          </w:p>
        </w:tc>
      </w:tr>
      <w:tr w:rsidR="00D557BA" w:rsidTr="00D557BA">
        <w:tc>
          <w:tcPr>
            <w:tcW w:w="4247" w:type="dxa"/>
          </w:tcPr>
          <w:p w:rsidR="00D557BA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de Computador</w:t>
            </w:r>
          </w:p>
        </w:tc>
        <w:tc>
          <w:tcPr>
            <w:tcW w:w="4247" w:type="dxa"/>
          </w:tcPr>
          <w:p w:rsidR="00D557BA" w:rsidRDefault="00D557BA" w:rsidP="00D557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Anos</w:t>
            </w:r>
          </w:p>
        </w:tc>
      </w:tr>
    </w:tbl>
    <w:p w:rsidR="00D557BA" w:rsidRDefault="00D557BA" w:rsidP="00D557BA">
      <w:pPr>
        <w:pStyle w:val="Default"/>
        <w:jc w:val="both"/>
        <w:rPr>
          <w:sz w:val="22"/>
          <w:szCs w:val="22"/>
        </w:rPr>
      </w:pPr>
    </w:p>
    <w:p w:rsidR="00D557BA" w:rsidRDefault="00D557BA" w:rsidP="00D557BA">
      <w:pPr>
        <w:jc w:val="both"/>
      </w:pPr>
      <w:r>
        <w:t xml:space="preserve">Os elementos de reduzido valor são amortizados a 100%, conforme estipulado no artigo 19º do Decreto Regulamentar nº. 25/2009 </w:t>
      </w:r>
      <w:proofErr w:type="gramStart"/>
      <w:r>
        <w:t>de</w:t>
      </w:r>
      <w:proofErr w:type="gramEnd"/>
      <w:r>
        <w:t xml:space="preserve"> 14/9.</w:t>
      </w:r>
    </w:p>
    <w:p w:rsidR="00D557BA" w:rsidRDefault="00D557BA" w:rsidP="00D557BA">
      <w:pPr>
        <w:jc w:val="both"/>
      </w:pPr>
      <w:r>
        <w:t>O valor residual de um “Ativo Intangível” com vida útil finita deve ser assumido como sendo zero, exceto se:</w:t>
      </w:r>
    </w:p>
    <w:p w:rsidR="00D557BA" w:rsidRDefault="00D557BA" w:rsidP="00D557BA">
      <w:pPr>
        <w:jc w:val="both"/>
      </w:pPr>
      <w:r>
        <w:t>Houver um compromisso de um terceiro de comprar o ativo no final da sua vida útil.</w:t>
      </w:r>
    </w:p>
    <w:p w:rsidR="00180C82" w:rsidRDefault="00180C82" w:rsidP="00D557BA">
      <w:pPr>
        <w:jc w:val="both"/>
      </w:pPr>
    </w:p>
    <w:p w:rsidR="00D557BA" w:rsidRPr="00D557BA" w:rsidRDefault="00D557BA" w:rsidP="00C20743">
      <w:pPr>
        <w:pStyle w:val="Ttulo3"/>
      </w:pPr>
      <w:bookmarkStart w:id="13" w:name="_Toc78212525"/>
      <w:r w:rsidRPr="00D557BA">
        <w:t>3.2.3 Investimentos financeiros</w:t>
      </w:r>
      <w:bookmarkEnd w:id="13"/>
    </w:p>
    <w:p w:rsidR="00D557BA" w:rsidRPr="00D557BA" w:rsidRDefault="00D557BA" w:rsidP="007507FD">
      <w:pPr>
        <w:jc w:val="both"/>
      </w:pPr>
      <w:r>
        <w:t xml:space="preserve">A Lei n.º 70/2013, de 30 de agosto criou dois fundos de compensação do trabalho – O FCT (fundo de compensação do trabalho) e o FGCT (fundo de garantia de compensação do </w:t>
      </w:r>
      <w:r w:rsidRPr="00D557BA">
        <w:t>trabalho), com o objetivo de assegurar o direito dos trabalhadores ao recebimento de metade do valor da compensação devida por cessação do contrato de trabalho, determinada nos termos da legislação laboral.</w:t>
      </w:r>
    </w:p>
    <w:p w:rsidR="00D557BA" w:rsidRPr="00D557BA" w:rsidRDefault="00D557BA" w:rsidP="007507FD">
      <w:pPr>
        <w:jc w:val="both"/>
      </w:pPr>
      <w:r w:rsidRPr="00D557BA">
        <w:t>Relativamente às entidades que apliquem o regime consignado no SNC-ESNL as entregas mensais para o FCT, efetuadas pela entidade empregadora, devem ser reconhecidas como um ativo financeiro dessa entidade, mensurado ao custo.</w:t>
      </w:r>
    </w:p>
    <w:p w:rsidR="00D557BA" w:rsidRPr="00D557BA" w:rsidRDefault="00D557BA" w:rsidP="007507FD">
      <w:pPr>
        <w:jc w:val="both"/>
      </w:pPr>
      <w:r w:rsidRPr="00D557BA">
        <w:t>O registo contabilístico do ativo financeiro referido será efetuado na conta “41</w:t>
      </w:r>
      <w:r>
        <w:t>43</w:t>
      </w:r>
      <w:r w:rsidRPr="00D557BA">
        <w:t xml:space="preserve"> – </w:t>
      </w:r>
      <w:r>
        <w:t>Fundos</w:t>
      </w:r>
      <w:r w:rsidRPr="00D557BA">
        <w:t>” e a eventual valorização gerada pelas aplicações financeiras dos valores do FCT será reconhecida como rendimento na data em que ocorrer o reembolso à entidade empregadora.</w:t>
      </w:r>
    </w:p>
    <w:p w:rsidR="00D32A89" w:rsidRDefault="00D557BA" w:rsidP="007507FD">
      <w:pPr>
        <w:jc w:val="both"/>
      </w:pPr>
      <w:r w:rsidRPr="00D557BA">
        <w:t>Os restantes investimentos estão valorizados ao custo histórico</w:t>
      </w:r>
      <w:r>
        <w:t>.</w:t>
      </w:r>
    </w:p>
    <w:p w:rsidR="00C20743" w:rsidRDefault="00C20743" w:rsidP="007507FD">
      <w:pPr>
        <w:jc w:val="both"/>
      </w:pPr>
    </w:p>
    <w:p w:rsidR="00D557BA" w:rsidRPr="00D557BA" w:rsidRDefault="00D557BA" w:rsidP="00C20743">
      <w:pPr>
        <w:pStyle w:val="Ttulo3"/>
      </w:pPr>
      <w:bookmarkStart w:id="14" w:name="_Toc78212526"/>
      <w:r w:rsidRPr="00D557BA">
        <w:t>3.2.4 Inventários</w:t>
      </w:r>
      <w:bookmarkEnd w:id="14"/>
    </w:p>
    <w:p w:rsidR="00D557BA" w:rsidRDefault="00D557BA" w:rsidP="007507FD">
      <w:pPr>
        <w:jc w:val="both"/>
      </w:pPr>
      <w:r w:rsidRPr="00D557BA">
        <w:t>Os “Inventários” estão valorizados ao custo de aquisição. O custo de aquisição inclui as despesas incorridas até ao armazenamento, utilizando-se o FIFO como fórmula de custeio, em sistema de inventário intermitente.</w:t>
      </w:r>
    </w:p>
    <w:p w:rsidR="00C20743" w:rsidRPr="00D557BA" w:rsidRDefault="00C20743" w:rsidP="007507FD">
      <w:pPr>
        <w:jc w:val="both"/>
      </w:pPr>
    </w:p>
    <w:p w:rsidR="00D557BA" w:rsidRPr="00D557BA" w:rsidRDefault="00D557BA" w:rsidP="00C20743">
      <w:pPr>
        <w:pStyle w:val="Ttulo3"/>
      </w:pPr>
      <w:bookmarkStart w:id="15" w:name="_Toc78212527"/>
      <w:r w:rsidRPr="00D557BA">
        <w:t>3.2.5 Instrumentos Financeiros</w:t>
      </w:r>
      <w:bookmarkEnd w:id="15"/>
    </w:p>
    <w:p w:rsidR="00D557BA" w:rsidRPr="00D557BA" w:rsidRDefault="00D557BA" w:rsidP="007507FD">
      <w:pPr>
        <w:jc w:val="both"/>
      </w:pPr>
      <w:r w:rsidRPr="00D557BA">
        <w:t>Créditos a receber</w:t>
      </w:r>
    </w:p>
    <w:p w:rsidR="00D557BA" w:rsidRPr="00D557BA" w:rsidRDefault="00D557BA" w:rsidP="007507FD">
      <w:pPr>
        <w:jc w:val="both"/>
      </w:pPr>
      <w:r w:rsidRPr="00D557BA">
        <w:t>Os “Créditos a Receber” encontram-se registados pelo seu custo estando deduzidas no Balanço das Perdas por Imparidade, quando estas se encontrem reconhecidas, para assim retratar o valor realizável líquido.</w:t>
      </w:r>
    </w:p>
    <w:p w:rsidR="00180C82" w:rsidRDefault="00D557BA" w:rsidP="007507FD">
      <w:pPr>
        <w:jc w:val="both"/>
      </w:pPr>
      <w:r w:rsidRPr="00D557BA">
        <w:t>As “Perdas por Imparidade” são registadas na sequência de eventos ocorridos que apontem de forma objetiva e quantificável, através de informação recolhida, que o saldo em dívida não será recebido (total ou parcialmente). Estas correspondem à diferença entre o montante a receber e respetivo valor atual dos fluxos de caixa futuros estimados, descontados à taxa de</w:t>
      </w:r>
      <w:r w:rsidR="007507FD">
        <w:t xml:space="preserve"> </w:t>
      </w:r>
      <w:r w:rsidR="007507FD" w:rsidRPr="007507FD">
        <w:lastRenderedPageBreak/>
        <w:t>juro efetiva inicial, que será nula quando se perspetiva um recebimento num prazo inferior a um ano.</w:t>
      </w:r>
      <w:r w:rsidR="00180C82">
        <w:t xml:space="preserve"> </w:t>
      </w:r>
    </w:p>
    <w:p w:rsidR="007507FD" w:rsidRPr="007507FD" w:rsidRDefault="007507FD" w:rsidP="007507FD">
      <w:pPr>
        <w:jc w:val="both"/>
      </w:pPr>
      <w:r w:rsidRPr="007507FD">
        <w:t>Estas rubricas são apresentadas no Balanço como Ativo Corrente, no entanto nas situações em que a sua maturidade é superior a doze meses da data de Balanço, são exibidas como Ativos não Correntes.</w:t>
      </w:r>
    </w:p>
    <w:p w:rsidR="007507FD" w:rsidRPr="007507FD" w:rsidRDefault="007507FD" w:rsidP="007507FD">
      <w:pPr>
        <w:jc w:val="both"/>
      </w:pPr>
      <w:r w:rsidRPr="007507FD">
        <w:t>Outros ativos e passivos correntes</w:t>
      </w:r>
    </w:p>
    <w:p w:rsidR="007507FD" w:rsidRPr="007507FD" w:rsidRDefault="007507FD" w:rsidP="007507FD">
      <w:pPr>
        <w:jc w:val="both"/>
      </w:pPr>
      <w:r w:rsidRPr="007507FD">
        <w:t>Os instrumentos financeiros cuja negociação ocorra em mercado líquido e regulamentado, são mensurados ao justo valor, sendo as variações reconhecidas deste por contrapartida de resultados do período.</w:t>
      </w:r>
    </w:p>
    <w:p w:rsidR="007507FD" w:rsidRPr="007507FD" w:rsidRDefault="007507FD" w:rsidP="007507FD">
      <w:pPr>
        <w:jc w:val="both"/>
      </w:pPr>
      <w:r w:rsidRPr="007507FD">
        <w:t>Os custos de transação só podem ser incluídos na mensuração inicial do ativo ou passivo financeiro, quando mensurados ao custo menos perda por imparidade.</w:t>
      </w:r>
    </w:p>
    <w:p w:rsidR="007507FD" w:rsidRPr="007507FD" w:rsidRDefault="007507FD" w:rsidP="007507FD">
      <w:pPr>
        <w:jc w:val="both"/>
      </w:pPr>
      <w:r w:rsidRPr="007507FD">
        <w:t>À data de relato a Entidade avalia todos os seus ativos financeiros que não estão mensurados ao justo valor por contrapartida de resultados. Havendo evidência objetiva de que se encontra em imparidade, esta é reconhecida nos resultados. Cessando de estar em imparidade, é reconhecida a reversão.</w:t>
      </w:r>
    </w:p>
    <w:p w:rsidR="007507FD" w:rsidRPr="007507FD" w:rsidRDefault="007507FD" w:rsidP="007507FD">
      <w:pPr>
        <w:jc w:val="both"/>
      </w:pPr>
      <w:r w:rsidRPr="007507FD">
        <w:t xml:space="preserve">Caixa e Depósitos Bancários </w:t>
      </w:r>
    </w:p>
    <w:p w:rsidR="007507FD" w:rsidRPr="007507FD" w:rsidRDefault="007507FD" w:rsidP="007507FD">
      <w:pPr>
        <w:jc w:val="both"/>
      </w:pPr>
      <w:r w:rsidRPr="007507FD">
        <w:t xml:space="preserve">A rubrica “Caixa e depósitos bancários” </w:t>
      </w:r>
      <w:r w:rsidR="003D2D36" w:rsidRPr="007507FD">
        <w:t>incluem</w:t>
      </w:r>
      <w:r w:rsidRPr="007507FD">
        <w:t xml:space="preserve"> caixa e depósitos bancários que possam ser imediatamente mobilizáveis sem risco significativo de flutuações de valor. </w:t>
      </w:r>
    </w:p>
    <w:p w:rsidR="007507FD" w:rsidRPr="007507FD" w:rsidRDefault="007507FD" w:rsidP="007507FD">
      <w:pPr>
        <w:jc w:val="both"/>
      </w:pPr>
      <w:r w:rsidRPr="007507FD">
        <w:t xml:space="preserve">Fornecedores e outros passivos correntes </w:t>
      </w:r>
    </w:p>
    <w:p w:rsidR="007507FD" w:rsidRDefault="007507FD" w:rsidP="007507FD">
      <w:pPr>
        <w:jc w:val="both"/>
      </w:pPr>
      <w:r w:rsidRPr="007507FD">
        <w:t xml:space="preserve">As dívidas registadas em “Fornecedores” e “Outros passivos correntes” são contabilizadas pelo seu valor nominal. </w:t>
      </w:r>
    </w:p>
    <w:p w:rsidR="00C20743" w:rsidRPr="007507FD" w:rsidRDefault="00C20743" w:rsidP="007507FD">
      <w:pPr>
        <w:jc w:val="both"/>
      </w:pPr>
    </w:p>
    <w:p w:rsidR="007507FD" w:rsidRPr="007507FD" w:rsidRDefault="007507FD" w:rsidP="00C20743">
      <w:pPr>
        <w:pStyle w:val="Ttulo3"/>
      </w:pPr>
      <w:bookmarkStart w:id="16" w:name="_Toc78212528"/>
      <w:r>
        <w:t xml:space="preserve">3.2.6 </w:t>
      </w:r>
      <w:r w:rsidRPr="007507FD">
        <w:t>Impostos Sobre o Rendimento</w:t>
      </w:r>
      <w:bookmarkEnd w:id="16"/>
      <w:r w:rsidRPr="007507FD">
        <w:t xml:space="preserve"> </w:t>
      </w:r>
    </w:p>
    <w:p w:rsidR="007507FD" w:rsidRPr="007507FD" w:rsidRDefault="007507FD" w:rsidP="007507FD">
      <w:pPr>
        <w:jc w:val="both"/>
      </w:pPr>
      <w:r w:rsidRPr="007507FD">
        <w:t xml:space="preserve">Nos termos da alínea b) do n.º 1 do art.º 10 do Código do Imposto sobre o Rendimento das Pessoas Coletivas (CIRC) estão isentos de Imposto sobre o Rendimento das Pessoas Coletivas (IRC) as instituições particulares de solidariedade social e Entidades anexas, bem como as pessoas coletivas àquelas legalmente equiparadas. </w:t>
      </w:r>
    </w:p>
    <w:p w:rsidR="007507FD" w:rsidRPr="007507FD" w:rsidRDefault="007507FD" w:rsidP="00C20743">
      <w:pPr>
        <w:pStyle w:val="Ttulo1"/>
      </w:pPr>
      <w:bookmarkStart w:id="17" w:name="_Toc78212529"/>
      <w:r w:rsidRPr="007507FD">
        <w:t>4 Ativos Fixos Tangíveis</w:t>
      </w:r>
      <w:bookmarkEnd w:id="17"/>
      <w:r w:rsidRPr="007507FD">
        <w:t xml:space="preserve"> </w:t>
      </w:r>
    </w:p>
    <w:p w:rsidR="007507FD" w:rsidRPr="007507FD" w:rsidRDefault="007507FD" w:rsidP="007507FD">
      <w:pPr>
        <w:jc w:val="both"/>
      </w:pPr>
      <w:r w:rsidRPr="007507FD">
        <w:t xml:space="preserve">Outros Ativos Fixos Tangíveis </w:t>
      </w:r>
    </w:p>
    <w:p w:rsidR="007507FD" w:rsidRPr="007507FD" w:rsidRDefault="007507FD" w:rsidP="007507FD">
      <w:pPr>
        <w:jc w:val="both"/>
      </w:pPr>
      <w:r w:rsidRPr="007507FD">
        <w:t xml:space="preserve">a) Os ativos fixos tangíveis adquiridos encontram-se registados ao custo de aquisição, deduzido das correspondentes depreciações acumuladas. </w:t>
      </w:r>
    </w:p>
    <w:p w:rsidR="007507FD" w:rsidRPr="007507FD" w:rsidRDefault="007507FD" w:rsidP="007507FD">
      <w:pPr>
        <w:jc w:val="both"/>
      </w:pPr>
      <w:r w:rsidRPr="007507FD">
        <w:t xml:space="preserve">b) As depreciações foram efetuadas pelo método da linha reta, em sistema de duodécimos. </w:t>
      </w:r>
    </w:p>
    <w:p w:rsidR="007507FD" w:rsidRPr="007507FD" w:rsidRDefault="007507FD" w:rsidP="007507FD">
      <w:pPr>
        <w:jc w:val="both"/>
      </w:pPr>
      <w:r w:rsidRPr="007507FD">
        <w:t xml:space="preserve">c) As vidas uteis foram determinadas de acordo com a expectativa da afetação do desempenho. </w:t>
      </w:r>
    </w:p>
    <w:p w:rsidR="00D557BA" w:rsidRDefault="007507FD" w:rsidP="007507FD">
      <w:pPr>
        <w:jc w:val="both"/>
      </w:pPr>
      <w:r w:rsidRPr="007507FD">
        <w:lastRenderedPageBreak/>
        <w:t>A quantia escriturada bruta, as depreciações acumuladas, a reconciliação da quantia escriturada no início e no fim do período mostrando as adições, os abates, as depreciações, as perdas de imparidade e suas reversões e outras alterações, foram desenvolvidas de acordo com o seguinte quadro:</w:t>
      </w:r>
    </w:p>
    <w:tbl>
      <w:tblPr>
        <w:tblStyle w:val="Tabelacomgrelha"/>
        <w:tblW w:w="0" w:type="auto"/>
        <w:tblLook w:val="04A0"/>
      </w:tblPr>
      <w:tblGrid>
        <w:gridCol w:w="2830"/>
        <w:gridCol w:w="1418"/>
        <w:gridCol w:w="1417"/>
        <w:gridCol w:w="1418"/>
        <w:gridCol w:w="1411"/>
      </w:tblGrid>
      <w:tr w:rsidR="007507FD" w:rsidTr="007507FD">
        <w:tc>
          <w:tcPr>
            <w:tcW w:w="2830" w:type="dxa"/>
          </w:tcPr>
          <w:p w:rsidR="007507FD" w:rsidRPr="007507FD" w:rsidRDefault="007507FD" w:rsidP="00750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418" w:type="dxa"/>
          </w:tcPr>
          <w:p w:rsidR="007507FD" w:rsidRPr="007507FD" w:rsidRDefault="007507FD" w:rsidP="00750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31-12-20</w:t>
            </w:r>
            <w:r w:rsidR="004C003B">
              <w:rPr>
                <w:b/>
                <w:bCs/>
              </w:rPr>
              <w:t>2</w:t>
            </w:r>
            <w:r w:rsidR="00A32100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7507FD" w:rsidRPr="007507FD" w:rsidRDefault="007507FD" w:rsidP="00750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ADIÇÕES</w:t>
            </w:r>
          </w:p>
        </w:tc>
        <w:tc>
          <w:tcPr>
            <w:tcW w:w="1418" w:type="dxa"/>
          </w:tcPr>
          <w:p w:rsidR="007507FD" w:rsidRPr="007507FD" w:rsidRDefault="007507FD" w:rsidP="00750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ABATES</w:t>
            </w:r>
          </w:p>
        </w:tc>
        <w:tc>
          <w:tcPr>
            <w:tcW w:w="1411" w:type="dxa"/>
          </w:tcPr>
          <w:p w:rsidR="007507FD" w:rsidRPr="007507FD" w:rsidRDefault="007507FD" w:rsidP="00750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31-12-20</w:t>
            </w:r>
            <w:r w:rsidR="00DF2D21">
              <w:rPr>
                <w:b/>
                <w:bCs/>
              </w:rPr>
              <w:t>2</w:t>
            </w:r>
            <w:r w:rsidR="00A32100">
              <w:rPr>
                <w:b/>
                <w:bCs/>
              </w:rPr>
              <w:t>2</w:t>
            </w:r>
          </w:p>
        </w:tc>
      </w:tr>
      <w:tr w:rsidR="007507FD" w:rsidTr="007507FD">
        <w:tc>
          <w:tcPr>
            <w:tcW w:w="2830" w:type="dxa"/>
          </w:tcPr>
          <w:p w:rsidR="007507FD" w:rsidRPr="007507FD" w:rsidRDefault="007507FD" w:rsidP="007507FD">
            <w:pPr>
              <w:jc w:val="both"/>
              <w:rPr>
                <w:sz w:val="20"/>
                <w:szCs w:val="20"/>
              </w:rPr>
            </w:pPr>
            <w:r w:rsidRPr="007507FD">
              <w:rPr>
                <w:sz w:val="20"/>
                <w:szCs w:val="20"/>
              </w:rPr>
              <w:t>Terrenos e Recursos Naturais</w:t>
            </w:r>
          </w:p>
        </w:tc>
        <w:tc>
          <w:tcPr>
            <w:tcW w:w="1418" w:type="dxa"/>
          </w:tcPr>
          <w:p w:rsidR="007507FD" w:rsidRDefault="007507FD" w:rsidP="00E634A3">
            <w:pPr>
              <w:jc w:val="right"/>
            </w:pPr>
          </w:p>
        </w:tc>
        <w:tc>
          <w:tcPr>
            <w:tcW w:w="1417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8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1" w:type="dxa"/>
          </w:tcPr>
          <w:p w:rsidR="007507FD" w:rsidRDefault="007507FD" w:rsidP="000D331D">
            <w:pPr>
              <w:jc w:val="right"/>
            </w:pPr>
          </w:p>
        </w:tc>
      </w:tr>
      <w:tr w:rsidR="007507FD" w:rsidTr="007507FD">
        <w:tc>
          <w:tcPr>
            <w:tcW w:w="2830" w:type="dxa"/>
          </w:tcPr>
          <w:p w:rsidR="007507FD" w:rsidRPr="007507FD" w:rsidRDefault="00245B91" w:rsidP="007507FD">
            <w:pPr>
              <w:jc w:val="both"/>
              <w:rPr>
                <w:sz w:val="20"/>
                <w:szCs w:val="20"/>
              </w:rPr>
            </w:pPr>
            <w:r w:rsidRPr="007507FD">
              <w:rPr>
                <w:sz w:val="20"/>
                <w:szCs w:val="20"/>
              </w:rPr>
              <w:t>Edifícios</w:t>
            </w:r>
            <w:r w:rsidR="007507FD" w:rsidRPr="007507FD">
              <w:rPr>
                <w:sz w:val="20"/>
                <w:szCs w:val="20"/>
              </w:rPr>
              <w:t xml:space="preserve"> e Outras Construções</w:t>
            </w:r>
          </w:p>
        </w:tc>
        <w:tc>
          <w:tcPr>
            <w:tcW w:w="1418" w:type="dxa"/>
          </w:tcPr>
          <w:p w:rsidR="007507FD" w:rsidRDefault="00A32100" w:rsidP="00E634A3">
            <w:pPr>
              <w:jc w:val="right"/>
            </w:pPr>
            <w:r>
              <w:t>20 163,81</w:t>
            </w:r>
          </w:p>
        </w:tc>
        <w:tc>
          <w:tcPr>
            <w:tcW w:w="1417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8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1" w:type="dxa"/>
          </w:tcPr>
          <w:p w:rsidR="007507FD" w:rsidRDefault="00A32100" w:rsidP="000D331D">
            <w:pPr>
              <w:jc w:val="right"/>
            </w:pPr>
            <w:r>
              <w:t>20 163,81</w:t>
            </w:r>
          </w:p>
        </w:tc>
      </w:tr>
      <w:tr w:rsidR="007507FD" w:rsidTr="007507FD">
        <w:tc>
          <w:tcPr>
            <w:tcW w:w="2830" w:type="dxa"/>
          </w:tcPr>
          <w:p w:rsidR="007507FD" w:rsidRPr="007507FD" w:rsidRDefault="007507FD" w:rsidP="00750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Equipamento </w:t>
            </w:r>
            <w:r w:rsidR="00245B91">
              <w:rPr>
                <w:sz w:val="20"/>
                <w:szCs w:val="20"/>
              </w:rPr>
              <w:t>Básico</w:t>
            </w:r>
          </w:p>
        </w:tc>
        <w:tc>
          <w:tcPr>
            <w:tcW w:w="1418" w:type="dxa"/>
          </w:tcPr>
          <w:p w:rsidR="007507FD" w:rsidRDefault="00A32100" w:rsidP="00E634A3">
            <w:pPr>
              <w:jc w:val="right"/>
            </w:pPr>
            <w:r>
              <w:t>58 017,35</w:t>
            </w:r>
          </w:p>
        </w:tc>
        <w:tc>
          <w:tcPr>
            <w:tcW w:w="1417" w:type="dxa"/>
          </w:tcPr>
          <w:p w:rsidR="007507FD" w:rsidRDefault="00A32100" w:rsidP="000D331D">
            <w:pPr>
              <w:jc w:val="right"/>
            </w:pPr>
            <w:r>
              <w:t>1 265,53</w:t>
            </w:r>
          </w:p>
        </w:tc>
        <w:tc>
          <w:tcPr>
            <w:tcW w:w="1418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1" w:type="dxa"/>
          </w:tcPr>
          <w:p w:rsidR="007507FD" w:rsidRDefault="00A32100" w:rsidP="000D331D">
            <w:pPr>
              <w:jc w:val="right"/>
            </w:pPr>
            <w:r>
              <w:t>59 282,88</w:t>
            </w:r>
          </w:p>
        </w:tc>
      </w:tr>
      <w:tr w:rsidR="007507FD" w:rsidTr="007507FD">
        <w:tc>
          <w:tcPr>
            <w:tcW w:w="2830" w:type="dxa"/>
          </w:tcPr>
          <w:p w:rsidR="007507FD" w:rsidRPr="007507FD" w:rsidRDefault="00245B91" w:rsidP="00750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Equipamento de Transporte</w:t>
            </w:r>
          </w:p>
        </w:tc>
        <w:tc>
          <w:tcPr>
            <w:tcW w:w="1418" w:type="dxa"/>
          </w:tcPr>
          <w:p w:rsidR="007507FD" w:rsidRDefault="00A32100" w:rsidP="00E634A3">
            <w:pPr>
              <w:jc w:val="right"/>
            </w:pPr>
            <w:r>
              <w:t>80 444,90</w:t>
            </w:r>
          </w:p>
        </w:tc>
        <w:tc>
          <w:tcPr>
            <w:tcW w:w="1417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8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1" w:type="dxa"/>
          </w:tcPr>
          <w:p w:rsidR="007507FD" w:rsidRDefault="00A32100" w:rsidP="000D331D">
            <w:pPr>
              <w:jc w:val="right"/>
            </w:pPr>
            <w:r>
              <w:t>80 444,90</w:t>
            </w:r>
          </w:p>
        </w:tc>
      </w:tr>
      <w:tr w:rsidR="007507FD" w:rsidTr="007507FD">
        <w:tc>
          <w:tcPr>
            <w:tcW w:w="2830" w:type="dxa"/>
          </w:tcPr>
          <w:p w:rsidR="007507FD" w:rsidRPr="007507FD" w:rsidRDefault="00245B91" w:rsidP="00750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Equipamento Administrativo</w:t>
            </w:r>
          </w:p>
        </w:tc>
        <w:tc>
          <w:tcPr>
            <w:tcW w:w="1418" w:type="dxa"/>
          </w:tcPr>
          <w:p w:rsidR="007507FD" w:rsidRDefault="00A32100" w:rsidP="00E634A3">
            <w:pPr>
              <w:jc w:val="right"/>
            </w:pPr>
            <w:r>
              <w:t>9 326,80</w:t>
            </w:r>
          </w:p>
        </w:tc>
        <w:tc>
          <w:tcPr>
            <w:tcW w:w="1417" w:type="dxa"/>
          </w:tcPr>
          <w:p w:rsidR="007507FD" w:rsidRDefault="00A32100" w:rsidP="00291FA0">
            <w:pPr>
              <w:jc w:val="right"/>
            </w:pPr>
            <w:r>
              <w:t>144,14</w:t>
            </w:r>
          </w:p>
        </w:tc>
        <w:tc>
          <w:tcPr>
            <w:tcW w:w="1418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1" w:type="dxa"/>
          </w:tcPr>
          <w:p w:rsidR="007507FD" w:rsidRDefault="00A32100" w:rsidP="000D331D">
            <w:pPr>
              <w:jc w:val="right"/>
            </w:pPr>
            <w:r>
              <w:t>9 470,94</w:t>
            </w:r>
          </w:p>
        </w:tc>
      </w:tr>
      <w:tr w:rsidR="007507FD" w:rsidTr="007507FD">
        <w:tc>
          <w:tcPr>
            <w:tcW w:w="2830" w:type="dxa"/>
          </w:tcPr>
          <w:p w:rsidR="007507FD" w:rsidRPr="007507FD" w:rsidRDefault="00245B91" w:rsidP="00750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Ativos Fixos Tangíveis</w:t>
            </w:r>
          </w:p>
        </w:tc>
        <w:tc>
          <w:tcPr>
            <w:tcW w:w="1418" w:type="dxa"/>
          </w:tcPr>
          <w:p w:rsidR="007507FD" w:rsidRDefault="00A32100" w:rsidP="00E634A3">
            <w:pPr>
              <w:jc w:val="right"/>
            </w:pPr>
            <w:r>
              <w:t>23 347,49</w:t>
            </w:r>
          </w:p>
        </w:tc>
        <w:tc>
          <w:tcPr>
            <w:tcW w:w="1417" w:type="dxa"/>
          </w:tcPr>
          <w:p w:rsidR="007507FD" w:rsidRDefault="00A32100" w:rsidP="000D331D">
            <w:pPr>
              <w:jc w:val="right"/>
            </w:pPr>
            <w:r>
              <w:t>140,51</w:t>
            </w:r>
          </w:p>
        </w:tc>
        <w:tc>
          <w:tcPr>
            <w:tcW w:w="1418" w:type="dxa"/>
          </w:tcPr>
          <w:p w:rsidR="007507FD" w:rsidRDefault="007507FD" w:rsidP="00EE200D">
            <w:pPr>
              <w:jc w:val="center"/>
            </w:pPr>
          </w:p>
        </w:tc>
        <w:tc>
          <w:tcPr>
            <w:tcW w:w="1411" w:type="dxa"/>
          </w:tcPr>
          <w:p w:rsidR="007507FD" w:rsidRDefault="00A32100" w:rsidP="000D331D">
            <w:pPr>
              <w:jc w:val="right"/>
            </w:pPr>
            <w:r>
              <w:t>23 488,00</w:t>
            </w:r>
          </w:p>
        </w:tc>
      </w:tr>
      <w:tr w:rsidR="007507FD" w:rsidTr="007507FD">
        <w:tc>
          <w:tcPr>
            <w:tcW w:w="2830" w:type="dxa"/>
          </w:tcPr>
          <w:p w:rsidR="007507FD" w:rsidRPr="00245B91" w:rsidRDefault="00245B91" w:rsidP="007507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Ativo Tangível Bruto</w:t>
            </w:r>
          </w:p>
        </w:tc>
        <w:tc>
          <w:tcPr>
            <w:tcW w:w="1418" w:type="dxa"/>
          </w:tcPr>
          <w:p w:rsidR="007507FD" w:rsidRPr="000D331D" w:rsidRDefault="00A32100" w:rsidP="00E63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191 300,35</w:t>
            </w:r>
          </w:p>
        </w:tc>
        <w:tc>
          <w:tcPr>
            <w:tcW w:w="1417" w:type="dxa"/>
          </w:tcPr>
          <w:p w:rsidR="007507FD" w:rsidRPr="000D331D" w:rsidRDefault="007507FD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7507FD" w:rsidRPr="000D331D" w:rsidRDefault="007507FD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1" w:type="dxa"/>
          </w:tcPr>
          <w:p w:rsidR="007507FD" w:rsidRPr="000D331D" w:rsidRDefault="00A20FAC" w:rsidP="000D3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192 850,53</w:t>
            </w:r>
          </w:p>
        </w:tc>
      </w:tr>
      <w:tr w:rsidR="007507FD" w:rsidTr="007507FD">
        <w:tc>
          <w:tcPr>
            <w:tcW w:w="2830" w:type="dxa"/>
          </w:tcPr>
          <w:p w:rsidR="007507FD" w:rsidRDefault="00245B91" w:rsidP="007507FD">
            <w:pPr>
              <w:jc w:val="both"/>
            </w:pPr>
            <w:r>
              <w:t>Depreciações Acumuladas</w:t>
            </w:r>
          </w:p>
        </w:tc>
        <w:tc>
          <w:tcPr>
            <w:tcW w:w="1418" w:type="dxa"/>
          </w:tcPr>
          <w:p w:rsidR="007507FD" w:rsidRDefault="007507FD" w:rsidP="00E634A3">
            <w:pPr>
              <w:jc w:val="right"/>
            </w:pPr>
          </w:p>
        </w:tc>
        <w:tc>
          <w:tcPr>
            <w:tcW w:w="1417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8" w:type="dxa"/>
          </w:tcPr>
          <w:p w:rsidR="007507FD" w:rsidRDefault="007507FD" w:rsidP="000D331D">
            <w:pPr>
              <w:jc w:val="right"/>
            </w:pPr>
          </w:p>
        </w:tc>
        <w:tc>
          <w:tcPr>
            <w:tcW w:w="1411" w:type="dxa"/>
          </w:tcPr>
          <w:p w:rsidR="007507FD" w:rsidRDefault="007507FD" w:rsidP="000D331D">
            <w:pPr>
              <w:jc w:val="right"/>
            </w:pPr>
          </w:p>
        </w:tc>
      </w:tr>
      <w:tr w:rsidR="00245B91" w:rsidTr="007507FD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sz w:val="20"/>
                <w:szCs w:val="20"/>
              </w:rPr>
            </w:pPr>
            <w:r w:rsidRPr="007507FD">
              <w:rPr>
                <w:sz w:val="20"/>
                <w:szCs w:val="20"/>
              </w:rPr>
              <w:t>Edifícios e Outras Construções</w:t>
            </w:r>
          </w:p>
        </w:tc>
        <w:tc>
          <w:tcPr>
            <w:tcW w:w="1418" w:type="dxa"/>
          </w:tcPr>
          <w:p w:rsidR="00245B91" w:rsidRDefault="00A32100" w:rsidP="00E634A3">
            <w:pPr>
              <w:jc w:val="right"/>
            </w:pPr>
            <w:r>
              <w:t>3 259,85</w:t>
            </w:r>
          </w:p>
        </w:tc>
        <w:tc>
          <w:tcPr>
            <w:tcW w:w="1417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8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1" w:type="dxa"/>
          </w:tcPr>
          <w:p w:rsidR="00245B91" w:rsidRDefault="00A20FAC" w:rsidP="000D331D">
            <w:pPr>
              <w:jc w:val="right"/>
            </w:pPr>
            <w:r>
              <w:t>3 663,13</w:t>
            </w:r>
          </w:p>
        </w:tc>
      </w:tr>
      <w:tr w:rsidR="00245B91" w:rsidTr="007507FD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Equipamento Básico</w:t>
            </w:r>
          </w:p>
        </w:tc>
        <w:tc>
          <w:tcPr>
            <w:tcW w:w="1418" w:type="dxa"/>
          </w:tcPr>
          <w:p w:rsidR="00245B91" w:rsidRDefault="00A32100" w:rsidP="00E634A3">
            <w:pPr>
              <w:jc w:val="right"/>
            </w:pPr>
            <w:r>
              <w:t>50 295,06</w:t>
            </w:r>
          </w:p>
        </w:tc>
        <w:tc>
          <w:tcPr>
            <w:tcW w:w="1417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8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1" w:type="dxa"/>
          </w:tcPr>
          <w:p w:rsidR="00245B91" w:rsidRDefault="00A20FAC" w:rsidP="000D331D">
            <w:pPr>
              <w:jc w:val="right"/>
            </w:pPr>
            <w:r>
              <w:t>53 390,61</w:t>
            </w:r>
          </w:p>
        </w:tc>
      </w:tr>
      <w:tr w:rsidR="00245B91" w:rsidTr="007507FD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Equipamento de Transporte</w:t>
            </w:r>
          </w:p>
        </w:tc>
        <w:tc>
          <w:tcPr>
            <w:tcW w:w="1418" w:type="dxa"/>
          </w:tcPr>
          <w:p w:rsidR="00245B91" w:rsidRDefault="00A32100" w:rsidP="00E634A3">
            <w:pPr>
              <w:jc w:val="right"/>
            </w:pPr>
            <w:r>
              <w:t>75 160,73</w:t>
            </w:r>
          </w:p>
        </w:tc>
        <w:tc>
          <w:tcPr>
            <w:tcW w:w="1417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8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1" w:type="dxa"/>
          </w:tcPr>
          <w:p w:rsidR="00245B91" w:rsidRDefault="00A20FAC" w:rsidP="000D331D">
            <w:pPr>
              <w:jc w:val="right"/>
            </w:pPr>
            <w:r>
              <w:t>80 444,90</w:t>
            </w:r>
          </w:p>
        </w:tc>
      </w:tr>
      <w:tr w:rsidR="00245B91" w:rsidTr="007507FD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Equipamento Administrativo</w:t>
            </w:r>
          </w:p>
        </w:tc>
        <w:tc>
          <w:tcPr>
            <w:tcW w:w="1418" w:type="dxa"/>
          </w:tcPr>
          <w:p w:rsidR="00245B91" w:rsidRDefault="00A32100" w:rsidP="00E634A3">
            <w:pPr>
              <w:jc w:val="right"/>
            </w:pPr>
            <w:r>
              <w:t>8 992,82</w:t>
            </w:r>
          </w:p>
        </w:tc>
        <w:tc>
          <w:tcPr>
            <w:tcW w:w="1417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8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1" w:type="dxa"/>
          </w:tcPr>
          <w:p w:rsidR="00245B91" w:rsidRDefault="00A20FAC" w:rsidP="000D331D">
            <w:pPr>
              <w:jc w:val="right"/>
            </w:pPr>
            <w:r>
              <w:t>9 286,71</w:t>
            </w:r>
          </w:p>
        </w:tc>
      </w:tr>
      <w:tr w:rsidR="00245B91" w:rsidTr="007507FD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Ativos Fixos Tangíveis</w:t>
            </w:r>
          </w:p>
        </w:tc>
        <w:tc>
          <w:tcPr>
            <w:tcW w:w="1418" w:type="dxa"/>
          </w:tcPr>
          <w:p w:rsidR="00245B91" w:rsidRDefault="00A32100" w:rsidP="00E634A3">
            <w:pPr>
              <w:jc w:val="right"/>
            </w:pPr>
            <w:r>
              <w:t>13 664,13</w:t>
            </w:r>
          </w:p>
        </w:tc>
        <w:tc>
          <w:tcPr>
            <w:tcW w:w="1417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8" w:type="dxa"/>
          </w:tcPr>
          <w:p w:rsidR="00245B91" w:rsidRDefault="00245B91" w:rsidP="000D331D">
            <w:pPr>
              <w:jc w:val="right"/>
            </w:pPr>
          </w:p>
        </w:tc>
        <w:tc>
          <w:tcPr>
            <w:tcW w:w="1411" w:type="dxa"/>
          </w:tcPr>
          <w:p w:rsidR="00245B91" w:rsidRDefault="00A20FAC" w:rsidP="000D331D">
            <w:pPr>
              <w:jc w:val="right"/>
            </w:pPr>
            <w:r>
              <w:t>16 064,51</w:t>
            </w:r>
          </w:p>
        </w:tc>
      </w:tr>
      <w:tr w:rsidR="00245B91" w:rsidTr="00291FA0">
        <w:trPr>
          <w:trHeight w:val="178"/>
        </w:trPr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Depreciações Acumuladas</w:t>
            </w:r>
          </w:p>
        </w:tc>
        <w:tc>
          <w:tcPr>
            <w:tcW w:w="1418" w:type="dxa"/>
          </w:tcPr>
          <w:p w:rsidR="00245B91" w:rsidRPr="00E634A3" w:rsidRDefault="00A32100" w:rsidP="00E63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151 372,59</w:t>
            </w:r>
          </w:p>
        </w:tc>
        <w:tc>
          <w:tcPr>
            <w:tcW w:w="1417" w:type="dxa"/>
          </w:tcPr>
          <w:p w:rsidR="00245B91" w:rsidRPr="00E634A3" w:rsidRDefault="00245B91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245B91" w:rsidRPr="00E634A3" w:rsidRDefault="00245B91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1" w:type="dxa"/>
          </w:tcPr>
          <w:p w:rsidR="00245B91" w:rsidRPr="00E634A3" w:rsidRDefault="00421D2B" w:rsidP="000D3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162 849,86</w:t>
            </w:r>
          </w:p>
        </w:tc>
      </w:tr>
      <w:tr w:rsidR="00245B91" w:rsidTr="007507FD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Ativo Tangível Líquido</w:t>
            </w:r>
          </w:p>
        </w:tc>
        <w:tc>
          <w:tcPr>
            <w:tcW w:w="1418" w:type="dxa"/>
          </w:tcPr>
          <w:p w:rsidR="00245B91" w:rsidRPr="00E634A3" w:rsidRDefault="00A32100" w:rsidP="00E63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39 927,76</w:t>
            </w:r>
          </w:p>
        </w:tc>
        <w:tc>
          <w:tcPr>
            <w:tcW w:w="1417" w:type="dxa"/>
          </w:tcPr>
          <w:p w:rsidR="00245B91" w:rsidRPr="00E634A3" w:rsidRDefault="00245B91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245B91" w:rsidRPr="00E634A3" w:rsidRDefault="00245B91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1" w:type="dxa"/>
          </w:tcPr>
          <w:p w:rsidR="00245B91" w:rsidRPr="00E634A3" w:rsidRDefault="00421D2B" w:rsidP="000D3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30 000,67</w:t>
            </w:r>
          </w:p>
        </w:tc>
      </w:tr>
      <w:tr w:rsidR="008B40B5" w:rsidTr="007507FD">
        <w:tc>
          <w:tcPr>
            <w:tcW w:w="2830" w:type="dxa"/>
          </w:tcPr>
          <w:p w:rsidR="008B40B5" w:rsidRDefault="008B40B5" w:rsidP="00245B91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8B40B5" w:rsidRPr="00E634A3" w:rsidRDefault="008B40B5" w:rsidP="00E634A3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:rsidR="008B40B5" w:rsidRDefault="008B40B5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B40B5" w:rsidRPr="00E634A3" w:rsidRDefault="008B40B5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1" w:type="dxa"/>
          </w:tcPr>
          <w:p w:rsidR="008B40B5" w:rsidRDefault="008B40B5" w:rsidP="000D331D">
            <w:pPr>
              <w:jc w:val="right"/>
              <w:rPr>
                <w:b/>
                <w:bCs/>
              </w:rPr>
            </w:pPr>
          </w:p>
        </w:tc>
      </w:tr>
      <w:tr w:rsidR="008B40B5" w:rsidTr="007507FD">
        <w:tc>
          <w:tcPr>
            <w:tcW w:w="2830" w:type="dxa"/>
          </w:tcPr>
          <w:p w:rsidR="008B40B5" w:rsidRDefault="008B40B5" w:rsidP="00245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Investimentos em curso</w:t>
            </w:r>
          </w:p>
        </w:tc>
        <w:tc>
          <w:tcPr>
            <w:tcW w:w="1418" w:type="dxa"/>
          </w:tcPr>
          <w:p w:rsidR="008B40B5" w:rsidRPr="00E634A3" w:rsidRDefault="00A32100" w:rsidP="00E63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30 819,57</w:t>
            </w:r>
          </w:p>
        </w:tc>
        <w:tc>
          <w:tcPr>
            <w:tcW w:w="1417" w:type="dxa"/>
          </w:tcPr>
          <w:p w:rsidR="008B40B5" w:rsidRPr="004E0AE5" w:rsidRDefault="00421D2B" w:rsidP="000D331D">
            <w:pPr>
              <w:jc w:val="right"/>
            </w:pPr>
            <w:r w:rsidRPr="004E0AE5">
              <w:t>4 003, 97</w:t>
            </w:r>
          </w:p>
        </w:tc>
        <w:tc>
          <w:tcPr>
            <w:tcW w:w="1418" w:type="dxa"/>
          </w:tcPr>
          <w:p w:rsidR="008B40B5" w:rsidRPr="00E634A3" w:rsidRDefault="008B40B5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1" w:type="dxa"/>
          </w:tcPr>
          <w:p w:rsidR="008B40B5" w:rsidRDefault="00421D2B" w:rsidP="000D3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34 823,54</w:t>
            </w:r>
          </w:p>
        </w:tc>
      </w:tr>
      <w:tr w:rsidR="008B40B5" w:rsidTr="007507FD">
        <w:tc>
          <w:tcPr>
            <w:tcW w:w="2830" w:type="dxa"/>
          </w:tcPr>
          <w:p w:rsidR="008B40B5" w:rsidRDefault="001608CB" w:rsidP="00245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Ativos fixos tangíveis</w:t>
            </w:r>
          </w:p>
        </w:tc>
        <w:tc>
          <w:tcPr>
            <w:tcW w:w="1418" w:type="dxa"/>
          </w:tcPr>
          <w:p w:rsidR="008B40B5" w:rsidRPr="00E634A3" w:rsidRDefault="00A32100" w:rsidP="00E63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70 747,33</w:t>
            </w:r>
          </w:p>
        </w:tc>
        <w:tc>
          <w:tcPr>
            <w:tcW w:w="1417" w:type="dxa"/>
          </w:tcPr>
          <w:p w:rsidR="008B40B5" w:rsidRDefault="008B40B5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8B40B5" w:rsidRPr="00E634A3" w:rsidRDefault="008B40B5" w:rsidP="000D331D">
            <w:pPr>
              <w:jc w:val="right"/>
              <w:rPr>
                <w:b/>
                <w:bCs/>
              </w:rPr>
            </w:pPr>
          </w:p>
        </w:tc>
        <w:tc>
          <w:tcPr>
            <w:tcW w:w="1411" w:type="dxa"/>
          </w:tcPr>
          <w:p w:rsidR="008B40B5" w:rsidRDefault="00421D2B" w:rsidP="000D33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64 824,21</w:t>
            </w:r>
          </w:p>
        </w:tc>
      </w:tr>
    </w:tbl>
    <w:p w:rsidR="002E3F7E" w:rsidRDefault="002E3F7E" w:rsidP="00245B91">
      <w:pPr>
        <w:jc w:val="both"/>
        <w:rPr>
          <w:b/>
          <w:bCs/>
          <w:sz w:val="24"/>
          <w:szCs w:val="24"/>
        </w:rPr>
      </w:pPr>
    </w:p>
    <w:p w:rsidR="00245B91" w:rsidRPr="00245B91" w:rsidRDefault="00245B91" w:rsidP="00C20743">
      <w:pPr>
        <w:pStyle w:val="Ttulo1"/>
      </w:pPr>
      <w:bookmarkStart w:id="18" w:name="_Toc78212530"/>
      <w:r w:rsidRPr="00245B91">
        <w:t>5 Ativos Intangíveis</w:t>
      </w:r>
      <w:bookmarkEnd w:id="18"/>
    </w:p>
    <w:p w:rsidR="00245B91" w:rsidRDefault="00245B91" w:rsidP="00245B91">
      <w:pPr>
        <w:jc w:val="both"/>
      </w:pPr>
      <w:r>
        <w:t>Outros Ativos Intangíveis</w:t>
      </w:r>
    </w:p>
    <w:p w:rsidR="00245B91" w:rsidRDefault="00245B91" w:rsidP="00245B91">
      <w:pPr>
        <w:jc w:val="both"/>
      </w:pPr>
      <w:r>
        <w:t>A quantia escriturada bruta, as amortizações acumuladas, a reconciliação da quantia escriturada no início e no fim do período mostrando as adições, os abates, as amortizações, as perdas de imparidade e suas reversões e outras alterações, foram desenvolvidas de acordo com o seguinte quadro:</w:t>
      </w:r>
    </w:p>
    <w:tbl>
      <w:tblPr>
        <w:tblStyle w:val="Tabelacomgrelha"/>
        <w:tblW w:w="0" w:type="auto"/>
        <w:tblLook w:val="04A0"/>
      </w:tblPr>
      <w:tblGrid>
        <w:gridCol w:w="2830"/>
        <w:gridCol w:w="1418"/>
        <w:gridCol w:w="1417"/>
        <w:gridCol w:w="1418"/>
        <w:gridCol w:w="1411"/>
      </w:tblGrid>
      <w:tr w:rsidR="00245B91" w:rsidTr="00245B91">
        <w:tc>
          <w:tcPr>
            <w:tcW w:w="2830" w:type="dxa"/>
          </w:tcPr>
          <w:p w:rsidR="00245B91" w:rsidRPr="00245B91" w:rsidRDefault="00245B91" w:rsidP="002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418" w:type="dxa"/>
          </w:tcPr>
          <w:p w:rsidR="00245B91" w:rsidRPr="00245B91" w:rsidRDefault="00245B91" w:rsidP="002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31-12-20</w:t>
            </w:r>
            <w:r w:rsidR="004C003B">
              <w:rPr>
                <w:b/>
                <w:bCs/>
              </w:rPr>
              <w:t>2</w:t>
            </w:r>
            <w:r w:rsidR="00A32100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245B91" w:rsidRPr="00245B91" w:rsidRDefault="00245B91" w:rsidP="002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ADIÇÕES</w:t>
            </w:r>
          </w:p>
        </w:tc>
        <w:tc>
          <w:tcPr>
            <w:tcW w:w="1418" w:type="dxa"/>
          </w:tcPr>
          <w:p w:rsidR="00245B91" w:rsidRPr="00245B91" w:rsidRDefault="00245B91" w:rsidP="002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ABATES</w:t>
            </w:r>
          </w:p>
        </w:tc>
        <w:tc>
          <w:tcPr>
            <w:tcW w:w="1411" w:type="dxa"/>
          </w:tcPr>
          <w:p w:rsidR="00245B91" w:rsidRPr="00245B91" w:rsidRDefault="00245B91" w:rsidP="002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31-12-20</w:t>
            </w:r>
            <w:r w:rsidR="00DF2D21">
              <w:rPr>
                <w:b/>
                <w:bCs/>
              </w:rPr>
              <w:t>2</w:t>
            </w:r>
            <w:r w:rsidR="00A32100">
              <w:rPr>
                <w:b/>
                <w:bCs/>
              </w:rPr>
              <w:t>2</w:t>
            </w:r>
          </w:p>
        </w:tc>
      </w:tr>
      <w:tr w:rsidR="00245B91" w:rsidTr="00245B91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sz w:val="20"/>
                <w:szCs w:val="20"/>
              </w:rPr>
            </w:pPr>
            <w:r w:rsidRPr="00245B91">
              <w:rPr>
                <w:sz w:val="20"/>
                <w:szCs w:val="20"/>
              </w:rPr>
              <w:t>Programas de Computador</w:t>
            </w: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7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1" w:type="dxa"/>
          </w:tcPr>
          <w:p w:rsidR="00245B91" w:rsidRDefault="00245B91" w:rsidP="00245B91">
            <w:pPr>
              <w:jc w:val="both"/>
            </w:pPr>
          </w:p>
        </w:tc>
      </w:tr>
      <w:tr w:rsidR="00245B91" w:rsidTr="00245B91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Ativo Intangível Bruto</w:t>
            </w: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7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1" w:type="dxa"/>
          </w:tcPr>
          <w:p w:rsidR="00245B91" w:rsidRDefault="00245B91" w:rsidP="00245B91">
            <w:pPr>
              <w:jc w:val="both"/>
            </w:pPr>
          </w:p>
        </w:tc>
      </w:tr>
      <w:tr w:rsidR="00245B91" w:rsidTr="00245B91">
        <w:tc>
          <w:tcPr>
            <w:tcW w:w="2830" w:type="dxa"/>
          </w:tcPr>
          <w:p w:rsidR="00245B91" w:rsidRDefault="00245B91" w:rsidP="00245B91">
            <w:pPr>
              <w:jc w:val="both"/>
            </w:pPr>
            <w:r>
              <w:t>Depreciações Acumuladas</w:t>
            </w: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7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1" w:type="dxa"/>
          </w:tcPr>
          <w:p w:rsidR="00245B91" w:rsidRDefault="00245B91" w:rsidP="00245B91">
            <w:pPr>
              <w:jc w:val="both"/>
            </w:pPr>
          </w:p>
        </w:tc>
      </w:tr>
      <w:tr w:rsidR="00245B91" w:rsidTr="00245B91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de Computador</w:t>
            </w: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7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1" w:type="dxa"/>
          </w:tcPr>
          <w:p w:rsidR="00245B91" w:rsidRDefault="00245B91" w:rsidP="00245B91">
            <w:pPr>
              <w:jc w:val="both"/>
            </w:pPr>
          </w:p>
        </w:tc>
      </w:tr>
      <w:tr w:rsidR="00245B91" w:rsidTr="00245B91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Depreciações Acumuladas</w:t>
            </w: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7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1" w:type="dxa"/>
          </w:tcPr>
          <w:p w:rsidR="00245B91" w:rsidRDefault="00245B91" w:rsidP="00245B91">
            <w:pPr>
              <w:jc w:val="both"/>
            </w:pPr>
          </w:p>
        </w:tc>
      </w:tr>
      <w:tr w:rsidR="00245B91" w:rsidTr="00245B91">
        <w:tc>
          <w:tcPr>
            <w:tcW w:w="2830" w:type="dxa"/>
          </w:tcPr>
          <w:p w:rsidR="00245B91" w:rsidRPr="00245B91" w:rsidRDefault="00245B91" w:rsidP="00245B91">
            <w:pPr>
              <w:jc w:val="both"/>
              <w:rPr>
                <w:b/>
                <w:bCs/>
              </w:rPr>
            </w:pPr>
            <w:r w:rsidRPr="00245B91">
              <w:rPr>
                <w:b/>
                <w:bCs/>
              </w:rPr>
              <w:t>Ativo Intangível Líquido</w:t>
            </w: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7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8" w:type="dxa"/>
          </w:tcPr>
          <w:p w:rsidR="00245B91" w:rsidRDefault="00245B91" w:rsidP="00245B91">
            <w:pPr>
              <w:jc w:val="both"/>
            </w:pPr>
          </w:p>
        </w:tc>
        <w:tc>
          <w:tcPr>
            <w:tcW w:w="1411" w:type="dxa"/>
          </w:tcPr>
          <w:p w:rsidR="00245B91" w:rsidRDefault="00245B91" w:rsidP="00245B91">
            <w:pPr>
              <w:jc w:val="both"/>
            </w:pPr>
          </w:p>
        </w:tc>
      </w:tr>
    </w:tbl>
    <w:p w:rsidR="00245B91" w:rsidRDefault="00245B91" w:rsidP="00245B91">
      <w:pPr>
        <w:jc w:val="both"/>
      </w:pPr>
    </w:p>
    <w:p w:rsidR="007F457A" w:rsidRPr="007F457A" w:rsidRDefault="007F457A" w:rsidP="00C20743">
      <w:pPr>
        <w:pStyle w:val="Ttulo1"/>
      </w:pPr>
      <w:bookmarkStart w:id="19" w:name="_Toc78212531"/>
      <w:r w:rsidRPr="007F457A">
        <w:t>6 Investimentos Financeiros</w:t>
      </w:r>
      <w:bookmarkEnd w:id="19"/>
    </w:p>
    <w:p w:rsidR="00245B91" w:rsidRDefault="007F457A" w:rsidP="007F457A">
      <w:pPr>
        <w:jc w:val="both"/>
      </w:pPr>
      <w:r>
        <w:t xml:space="preserve">No período de </w:t>
      </w:r>
      <w:r w:rsidR="00FA760B">
        <w:t>202</w:t>
      </w:r>
      <w:r w:rsidR="00421D2B">
        <w:t>2</w:t>
      </w:r>
      <w:r>
        <w:t>, a Entidade detinha os seguintes “Investimentos Financeiros”:</w:t>
      </w:r>
    </w:p>
    <w:tbl>
      <w:tblPr>
        <w:tblStyle w:val="Tabelacomgrelha"/>
        <w:tblW w:w="0" w:type="auto"/>
        <w:tblLook w:val="04A0"/>
      </w:tblPr>
      <w:tblGrid>
        <w:gridCol w:w="6232"/>
        <w:gridCol w:w="2262"/>
      </w:tblGrid>
      <w:tr w:rsidR="007F457A" w:rsidTr="007F457A">
        <w:tc>
          <w:tcPr>
            <w:tcW w:w="6232" w:type="dxa"/>
          </w:tcPr>
          <w:p w:rsidR="007F457A" w:rsidRPr="007F457A" w:rsidRDefault="007F457A" w:rsidP="007F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DESCRIÇÃO</w:t>
            </w:r>
          </w:p>
        </w:tc>
        <w:tc>
          <w:tcPr>
            <w:tcW w:w="2262" w:type="dxa"/>
          </w:tcPr>
          <w:p w:rsidR="007F457A" w:rsidRPr="007F457A" w:rsidRDefault="007F457A" w:rsidP="007F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31-12-20</w:t>
            </w:r>
            <w:r w:rsidR="00DF2D21">
              <w:rPr>
                <w:b/>
                <w:bCs/>
              </w:rPr>
              <w:t>2</w:t>
            </w:r>
            <w:r w:rsidR="00421D2B">
              <w:rPr>
                <w:b/>
                <w:bCs/>
              </w:rPr>
              <w:t>2</w:t>
            </w:r>
          </w:p>
        </w:tc>
      </w:tr>
      <w:tr w:rsidR="007F457A" w:rsidTr="007F457A">
        <w:tc>
          <w:tcPr>
            <w:tcW w:w="6232" w:type="dxa"/>
          </w:tcPr>
          <w:p w:rsidR="007F457A" w:rsidRPr="007F457A" w:rsidRDefault="007F457A" w:rsidP="007F457A">
            <w:pPr>
              <w:jc w:val="both"/>
              <w:rPr>
                <w:b/>
                <w:bCs/>
              </w:rPr>
            </w:pPr>
            <w:r w:rsidRPr="007F457A">
              <w:rPr>
                <w:b/>
                <w:bCs/>
              </w:rPr>
              <w:t>Investimentos Financeiros</w:t>
            </w:r>
          </w:p>
        </w:tc>
        <w:tc>
          <w:tcPr>
            <w:tcW w:w="2262" w:type="dxa"/>
          </w:tcPr>
          <w:p w:rsidR="007F457A" w:rsidRDefault="007F457A" w:rsidP="007F457A">
            <w:pPr>
              <w:jc w:val="both"/>
            </w:pPr>
          </w:p>
        </w:tc>
      </w:tr>
      <w:tr w:rsidR="007F457A" w:rsidTr="007F457A">
        <w:tc>
          <w:tcPr>
            <w:tcW w:w="6232" w:type="dxa"/>
          </w:tcPr>
          <w:p w:rsidR="007F457A" w:rsidRDefault="007F457A" w:rsidP="007F457A">
            <w:pPr>
              <w:jc w:val="both"/>
            </w:pPr>
            <w:r>
              <w:t>FCT</w:t>
            </w:r>
          </w:p>
        </w:tc>
        <w:tc>
          <w:tcPr>
            <w:tcW w:w="2262" w:type="dxa"/>
          </w:tcPr>
          <w:p w:rsidR="001F0DCB" w:rsidRDefault="00421D2B" w:rsidP="001F0DCB">
            <w:pPr>
              <w:jc w:val="right"/>
            </w:pPr>
            <w:r>
              <w:t>1 579,36</w:t>
            </w:r>
          </w:p>
        </w:tc>
      </w:tr>
      <w:tr w:rsidR="007F457A" w:rsidTr="007F457A">
        <w:tc>
          <w:tcPr>
            <w:tcW w:w="6232" w:type="dxa"/>
          </w:tcPr>
          <w:p w:rsidR="007F457A" w:rsidRPr="007F457A" w:rsidRDefault="007F457A" w:rsidP="007F457A">
            <w:pPr>
              <w:jc w:val="both"/>
              <w:rPr>
                <w:b/>
                <w:bCs/>
              </w:rPr>
            </w:pPr>
            <w:r w:rsidRPr="007F457A">
              <w:rPr>
                <w:b/>
                <w:bCs/>
              </w:rPr>
              <w:t>TOTAL</w:t>
            </w:r>
          </w:p>
        </w:tc>
        <w:tc>
          <w:tcPr>
            <w:tcW w:w="2262" w:type="dxa"/>
          </w:tcPr>
          <w:p w:rsidR="007F457A" w:rsidRPr="001F0DCB" w:rsidRDefault="00421D2B" w:rsidP="001F0D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1 579,36</w:t>
            </w:r>
          </w:p>
        </w:tc>
      </w:tr>
    </w:tbl>
    <w:p w:rsidR="007F457A" w:rsidRPr="007F457A" w:rsidRDefault="007F457A" w:rsidP="00C20743">
      <w:pPr>
        <w:pStyle w:val="Ttulo1"/>
      </w:pPr>
      <w:bookmarkStart w:id="20" w:name="_Toc78212532"/>
      <w:r w:rsidRPr="007F457A">
        <w:t>7 Inventários</w:t>
      </w:r>
      <w:bookmarkEnd w:id="20"/>
    </w:p>
    <w:p w:rsidR="007F457A" w:rsidRDefault="007F457A" w:rsidP="007F457A">
      <w:pPr>
        <w:jc w:val="both"/>
      </w:pPr>
      <w:r>
        <w:t>Em 31 de Dezembro de 20</w:t>
      </w:r>
      <w:r w:rsidR="00B153ED">
        <w:t>2</w:t>
      </w:r>
      <w:r w:rsidR="00421D2B">
        <w:t>2</w:t>
      </w:r>
      <w:r>
        <w:t xml:space="preserve"> a rubrica “Inventários” apresentava os seguintes valores:</w:t>
      </w:r>
    </w:p>
    <w:tbl>
      <w:tblPr>
        <w:tblStyle w:val="Tabelacomgrelha"/>
        <w:tblW w:w="0" w:type="auto"/>
        <w:tblLook w:val="04A0"/>
      </w:tblPr>
      <w:tblGrid>
        <w:gridCol w:w="6232"/>
        <w:gridCol w:w="2262"/>
      </w:tblGrid>
      <w:tr w:rsidR="007F457A" w:rsidTr="007F457A">
        <w:tc>
          <w:tcPr>
            <w:tcW w:w="6232" w:type="dxa"/>
          </w:tcPr>
          <w:p w:rsidR="007F457A" w:rsidRPr="007F457A" w:rsidRDefault="007F457A" w:rsidP="007F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262" w:type="dxa"/>
          </w:tcPr>
          <w:p w:rsidR="007F457A" w:rsidRPr="007F457A" w:rsidRDefault="007F457A" w:rsidP="007F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31-12-20</w:t>
            </w:r>
            <w:r w:rsidR="00DF2D21">
              <w:rPr>
                <w:b/>
                <w:bCs/>
              </w:rPr>
              <w:t>2</w:t>
            </w:r>
            <w:r w:rsidR="00421D2B">
              <w:rPr>
                <w:b/>
                <w:bCs/>
              </w:rPr>
              <w:t>2</w:t>
            </w:r>
          </w:p>
        </w:tc>
      </w:tr>
      <w:tr w:rsidR="007F457A" w:rsidTr="007F457A">
        <w:tc>
          <w:tcPr>
            <w:tcW w:w="6232" w:type="dxa"/>
          </w:tcPr>
          <w:p w:rsidR="007F457A" w:rsidRDefault="007F457A" w:rsidP="007F457A">
            <w:pPr>
              <w:jc w:val="both"/>
            </w:pPr>
            <w:r>
              <w:t>Matérias-primas, Subsidiarias e de Consumo</w:t>
            </w:r>
          </w:p>
        </w:tc>
        <w:tc>
          <w:tcPr>
            <w:tcW w:w="2262" w:type="dxa"/>
          </w:tcPr>
          <w:p w:rsidR="007F457A" w:rsidRDefault="007F457A" w:rsidP="007F457A">
            <w:pPr>
              <w:jc w:val="both"/>
            </w:pPr>
          </w:p>
        </w:tc>
      </w:tr>
      <w:tr w:rsidR="007F457A" w:rsidTr="007F457A">
        <w:tc>
          <w:tcPr>
            <w:tcW w:w="6232" w:type="dxa"/>
          </w:tcPr>
          <w:p w:rsidR="007F457A" w:rsidRPr="007F457A" w:rsidRDefault="007F457A" w:rsidP="007F45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262" w:type="dxa"/>
          </w:tcPr>
          <w:p w:rsidR="007F457A" w:rsidRPr="001F0DCB" w:rsidRDefault="001F0DCB" w:rsidP="001F0DCB">
            <w:pPr>
              <w:jc w:val="right"/>
              <w:rPr>
                <w:b/>
                <w:bCs/>
              </w:rPr>
            </w:pPr>
            <w:r w:rsidRPr="001F0DCB">
              <w:rPr>
                <w:b/>
                <w:bCs/>
              </w:rPr>
              <w:t>0,00</w:t>
            </w:r>
          </w:p>
        </w:tc>
      </w:tr>
    </w:tbl>
    <w:p w:rsidR="007F457A" w:rsidRDefault="007F457A" w:rsidP="007F457A">
      <w:pPr>
        <w:jc w:val="both"/>
      </w:pPr>
    </w:p>
    <w:p w:rsidR="007F457A" w:rsidRDefault="007F457A" w:rsidP="007F457A">
      <w:pPr>
        <w:jc w:val="both"/>
      </w:pPr>
      <w:r w:rsidRPr="007F457A">
        <w:t xml:space="preserve">No que concerne à quantia de “Inventários” reconhecida como gasto durante os períodos findos em 31 de Dezembro de </w:t>
      </w:r>
      <w:r w:rsidR="00FA760B">
        <w:t>202</w:t>
      </w:r>
      <w:r w:rsidR="00421D2B">
        <w:t>2</w:t>
      </w:r>
      <w:r w:rsidRPr="007F457A">
        <w:t>, detalham-se conforme segue:</w:t>
      </w:r>
    </w:p>
    <w:p w:rsidR="00B330B3" w:rsidRDefault="00B330B3" w:rsidP="007F457A">
      <w:pPr>
        <w:jc w:val="both"/>
      </w:pPr>
    </w:p>
    <w:tbl>
      <w:tblPr>
        <w:tblStyle w:val="Tabelacomgrelha"/>
        <w:tblW w:w="0" w:type="auto"/>
        <w:tblLook w:val="04A0"/>
      </w:tblPr>
      <w:tblGrid>
        <w:gridCol w:w="3256"/>
        <w:gridCol w:w="5238"/>
      </w:tblGrid>
      <w:tr w:rsidR="007F457A" w:rsidTr="00EA6F54">
        <w:tc>
          <w:tcPr>
            <w:tcW w:w="3256" w:type="dxa"/>
            <w:vMerge w:val="restart"/>
          </w:tcPr>
          <w:p w:rsidR="007F457A" w:rsidRPr="007F457A" w:rsidRDefault="007F457A" w:rsidP="007F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MOVIMENTOS</w:t>
            </w:r>
          </w:p>
        </w:tc>
        <w:tc>
          <w:tcPr>
            <w:tcW w:w="5238" w:type="dxa"/>
          </w:tcPr>
          <w:p w:rsidR="007F457A" w:rsidRPr="007F457A" w:rsidRDefault="007F457A" w:rsidP="007F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421D2B">
              <w:rPr>
                <w:b/>
                <w:bCs/>
              </w:rPr>
              <w:t>2</w:t>
            </w:r>
          </w:p>
        </w:tc>
      </w:tr>
      <w:tr w:rsidR="007F457A" w:rsidTr="00EA6F54">
        <w:tc>
          <w:tcPr>
            <w:tcW w:w="3256" w:type="dxa"/>
            <w:vMerge/>
          </w:tcPr>
          <w:p w:rsidR="007F457A" w:rsidRPr="007F457A" w:rsidRDefault="007F457A" w:rsidP="007F457A">
            <w:pPr>
              <w:jc w:val="center"/>
              <w:rPr>
                <w:b/>
                <w:bCs/>
              </w:rPr>
            </w:pPr>
          </w:p>
        </w:tc>
        <w:tc>
          <w:tcPr>
            <w:tcW w:w="5238" w:type="dxa"/>
          </w:tcPr>
          <w:p w:rsidR="007F457A" w:rsidRPr="007F457A" w:rsidRDefault="00EA6F54" w:rsidP="007F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Matérias-primas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subsidiarias e de consumo</w:t>
            </w:r>
          </w:p>
        </w:tc>
      </w:tr>
      <w:tr w:rsidR="007F457A" w:rsidTr="00EA6F54">
        <w:tc>
          <w:tcPr>
            <w:tcW w:w="3256" w:type="dxa"/>
          </w:tcPr>
          <w:p w:rsidR="007F457A" w:rsidRDefault="00EA6F54" w:rsidP="007F457A">
            <w:pPr>
              <w:jc w:val="both"/>
            </w:pPr>
            <w:r>
              <w:t>Saldo Inicial</w:t>
            </w:r>
          </w:p>
        </w:tc>
        <w:tc>
          <w:tcPr>
            <w:tcW w:w="5238" w:type="dxa"/>
          </w:tcPr>
          <w:p w:rsidR="007F457A" w:rsidRDefault="001F0DCB" w:rsidP="001F0DCB">
            <w:pPr>
              <w:jc w:val="right"/>
            </w:pPr>
            <w:r>
              <w:t>0,00</w:t>
            </w:r>
          </w:p>
        </w:tc>
      </w:tr>
      <w:tr w:rsidR="007F457A" w:rsidTr="00EA6F54">
        <w:tc>
          <w:tcPr>
            <w:tcW w:w="3256" w:type="dxa"/>
          </w:tcPr>
          <w:p w:rsidR="007F457A" w:rsidRDefault="00EA6F54" w:rsidP="007F457A">
            <w:pPr>
              <w:jc w:val="both"/>
            </w:pPr>
            <w:r>
              <w:t>Compras</w:t>
            </w:r>
          </w:p>
        </w:tc>
        <w:tc>
          <w:tcPr>
            <w:tcW w:w="5238" w:type="dxa"/>
          </w:tcPr>
          <w:p w:rsidR="007F457A" w:rsidRDefault="00421D2B" w:rsidP="001F0DCB">
            <w:pPr>
              <w:jc w:val="right"/>
            </w:pPr>
            <w:r>
              <w:t>77 977,42</w:t>
            </w:r>
          </w:p>
        </w:tc>
      </w:tr>
      <w:tr w:rsidR="007F457A" w:rsidTr="00EA6F54">
        <w:tc>
          <w:tcPr>
            <w:tcW w:w="3256" w:type="dxa"/>
          </w:tcPr>
          <w:p w:rsidR="007F457A" w:rsidRDefault="00EA6F54" w:rsidP="007F457A">
            <w:pPr>
              <w:jc w:val="both"/>
            </w:pPr>
            <w:r>
              <w:t>Regularização Inventários</w:t>
            </w:r>
          </w:p>
        </w:tc>
        <w:tc>
          <w:tcPr>
            <w:tcW w:w="5238" w:type="dxa"/>
          </w:tcPr>
          <w:p w:rsidR="007F457A" w:rsidRDefault="001F0DCB" w:rsidP="001F0DCB">
            <w:pPr>
              <w:jc w:val="right"/>
            </w:pPr>
            <w:r>
              <w:t>0,00</w:t>
            </w:r>
          </w:p>
        </w:tc>
      </w:tr>
      <w:tr w:rsidR="007F457A" w:rsidTr="00EA6F54">
        <w:tc>
          <w:tcPr>
            <w:tcW w:w="3256" w:type="dxa"/>
          </w:tcPr>
          <w:p w:rsidR="007F457A" w:rsidRDefault="00EA6F54" w:rsidP="007F457A">
            <w:pPr>
              <w:jc w:val="both"/>
            </w:pPr>
            <w:r>
              <w:t>Saldo Final</w:t>
            </w:r>
          </w:p>
        </w:tc>
        <w:tc>
          <w:tcPr>
            <w:tcW w:w="5238" w:type="dxa"/>
          </w:tcPr>
          <w:p w:rsidR="007F457A" w:rsidRDefault="001F0DCB" w:rsidP="001F0DCB">
            <w:pPr>
              <w:jc w:val="right"/>
            </w:pPr>
            <w:r>
              <w:t>0,00</w:t>
            </w:r>
          </w:p>
        </w:tc>
      </w:tr>
      <w:tr w:rsidR="007F457A" w:rsidTr="00EA6F54">
        <w:tc>
          <w:tcPr>
            <w:tcW w:w="3256" w:type="dxa"/>
          </w:tcPr>
          <w:p w:rsidR="007F457A" w:rsidRPr="00EA6F54" w:rsidRDefault="00EA6F54" w:rsidP="007F45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Gastos no Período</w:t>
            </w:r>
          </w:p>
        </w:tc>
        <w:tc>
          <w:tcPr>
            <w:tcW w:w="5238" w:type="dxa"/>
          </w:tcPr>
          <w:p w:rsidR="007F457A" w:rsidRDefault="00421D2B" w:rsidP="001F0DCB">
            <w:pPr>
              <w:jc w:val="right"/>
            </w:pPr>
            <w:r>
              <w:t>77 977,42</w:t>
            </w:r>
          </w:p>
        </w:tc>
      </w:tr>
    </w:tbl>
    <w:p w:rsidR="007F457A" w:rsidRDefault="007F457A" w:rsidP="007F457A">
      <w:pPr>
        <w:jc w:val="both"/>
      </w:pPr>
    </w:p>
    <w:p w:rsidR="00EA6F54" w:rsidRPr="00EA6F54" w:rsidRDefault="00EA6F54" w:rsidP="00C20743">
      <w:pPr>
        <w:pStyle w:val="Ttulo1"/>
      </w:pPr>
      <w:bookmarkStart w:id="21" w:name="_Toc78212533"/>
      <w:r w:rsidRPr="00EA6F54">
        <w:t>8 Rendimentos e gastos</w:t>
      </w:r>
      <w:bookmarkEnd w:id="21"/>
      <w:r w:rsidRPr="00EA6F54">
        <w:t xml:space="preserve"> </w:t>
      </w:r>
    </w:p>
    <w:p w:rsidR="00EA6F54" w:rsidRDefault="00EA6F54" w:rsidP="00EA6F54">
      <w:pPr>
        <w:jc w:val="both"/>
      </w:pPr>
      <w:r w:rsidRPr="00EA6F54">
        <w:t xml:space="preserve">Para os períodos de </w:t>
      </w:r>
      <w:r w:rsidR="004C003B">
        <w:t>202</w:t>
      </w:r>
      <w:r w:rsidR="00421D2B">
        <w:t>2</w:t>
      </w:r>
      <w:r w:rsidRPr="00EA6F54">
        <w:t xml:space="preserve"> foram reconhecidos os seguintes Réditos</w:t>
      </w:r>
      <w:r>
        <w:t>:</w:t>
      </w:r>
    </w:p>
    <w:tbl>
      <w:tblPr>
        <w:tblStyle w:val="Tabelacomgrelha"/>
        <w:tblW w:w="0" w:type="auto"/>
        <w:tblLook w:val="04A0"/>
      </w:tblPr>
      <w:tblGrid>
        <w:gridCol w:w="5949"/>
        <w:gridCol w:w="2545"/>
      </w:tblGrid>
      <w:tr w:rsidR="00EA6F54" w:rsidTr="00EA6F54">
        <w:tc>
          <w:tcPr>
            <w:tcW w:w="5949" w:type="dxa"/>
          </w:tcPr>
          <w:p w:rsidR="00EA6F54" w:rsidRPr="00EA6F54" w:rsidRDefault="00EA6F54" w:rsidP="00EA6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RUBRICAS</w:t>
            </w:r>
          </w:p>
        </w:tc>
        <w:tc>
          <w:tcPr>
            <w:tcW w:w="2545" w:type="dxa"/>
          </w:tcPr>
          <w:p w:rsidR="00EA6F54" w:rsidRPr="00EA6F54" w:rsidRDefault="00EA6F54" w:rsidP="00EA6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31-12-20</w:t>
            </w:r>
            <w:r w:rsidR="00DF2D21">
              <w:rPr>
                <w:b/>
                <w:bCs/>
              </w:rPr>
              <w:t>2</w:t>
            </w:r>
            <w:r w:rsidR="00421D2B">
              <w:rPr>
                <w:b/>
                <w:bCs/>
              </w:rPr>
              <w:t>2</w:t>
            </w:r>
          </w:p>
        </w:tc>
      </w:tr>
      <w:tr w:rsidR="00EA6F54" w:rsidTr="00EA6F54">
        <w:tc>
          <w:tcPr>
            <w:tcW w:w="5949" w:type="dxa"/>
          </w:tcPr>
          <w:p w:rsidR="00EA6F54" w:rsidRPr="00EA6F54" w:rsidRDefault="00EA6F54" w:rsidP="00EA6F54">
            <w:pPr>
              <w:jc w:val="both"/>
              <w:rPr>
                <w:b/>
                <w:bCs/>
              </w:rPr>
            </w:pPr>
            <w:r w:rsidRPr="00EA6F54">
              <w:rPr>
                <w:b/>
                <w:bCs/>
              </w:rPr>
              <w:t>Prestação Serviços</w:t>
            </w:r>
          </w:p>
        </w:tc>
        <w:tc>
          <w:tcPr>
            <w:tcW w:w="2545" w:type="dxa"/>
          </w:tcPr>
          <w:p w:rsidR="0034791E" w:rsidRPr="0034791E" w:rsidRDefault="007D370E" w:rsidP="003479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46C9C">
              <w:rPr>
                <w:b/>
                <w:bCs/>
              </w:rPr>
              <w:t>1 996,02</w:t>
            </w:r>
          </w:p>
        </w:tc>
      </w:tr>
      <w:tr w:rsidR="00EA6F54" w:rsidTr="00EA6F54">
        <w:tc>
          <w:tcPr>
            <w:tcW w:w="5949" w:type="dxa"/>
          </w:tcPr>
          <w:p w:rsidR="00EA6F54" w:rsidRDefault="00EA6F54" w:rsidP="00EA6F54">
            <w:pPr>
              <w:jc w:val="both"/>
            </w:pPr>
            <w:r>
              <w:t>Quotas dos utilizadores</w:t>
            </w:r>
          </w:p>
        </w:tc>
        <w:tc>
          <w:tcPr>
            <w:tcW w:w="2545" w:type="dxa"/>
          </w:tcPr>
          <w:p w:rsidR="001F0DCB" w:rsidRDefault="000D47F2" w:rsidP="001F0DCB">
            <w:pPr>
              <w:jc w:val="right"/>
            </w:pPr>
            <w:r>
              <w:t>10</w:t>
            </w:r>
            <w:r w:rsidR="00421D2B">
              <w:t>1 218</w:t>
            </w:r>
            <w:r w:rsidR="00E00821">
              <w:t>,</w:t>
            </w:r>
            <w:r w:rsidR="00421D2B">
              <w:t>02</w:t>
            </w:r>
          </w:p>
        </w:tc>
      </w:tr>
      <w:tr w:rsidR="00EA6F54" w:rsidTr="00EA6F54">
        <w:tc>
          <w:tcPr>
            <w:tcW w:w="5949" w:type="dxa"/>
          </w:tcPr>
          <w:p w:rsidR="00EA6F54" w:rsidRDefault="00EC14E7" w:rsidP="00EA6F54">
            <w:pPr>
              <w:jc w:val="both"/>
            </w:pPr>
            <w:r>
              <w:t>Quotizações e joias</w:t>
            </w:r>
          </w:p>
        </w:tc>
        <w:tc>
          <w:tcPr>
            <w:tcW w:w="2545" w:type="dxa"/>
          </w:tcPr>
          <w:p w:rsidR="00EA6F54" w:rsidRDefault="00421D2B" w:rsidP="001F0DCB">
            <w:pPr>
              <w:jc w:val="right"/>
            </w:pPr>
            <w:r>
              <w:t>778</w:t>
            </w:r>
            <w:r w:rsidR="000D47F2">
              <w:t>,00</w:t>
            </w:r>
          </w:p>
        </w:tc>
      </w:tr>
      <w:tr w:rsidR="00EA6F54" w:rsidTr="00EA6F54">
        <w:tc>
          <w:tcPr>
            <w:tcW w:w="5949" w:type="dxa"/>
          </w:tcPr>
          <w:p w:rsidR="00EA6F54" w:rsidRDefault="00EA6F54" w:rsidP="00EA6F54">
            <w:pPr>
              <w:jc w:val="both"/>
            </w:pPr>
          </w:p>
        </w:tc>
        <w:tc>
          <w:tcPr>
            <w:tcW w:w="2545" w:type="dxa"/>
          </w:tcPr>
          <w:p w:rsidR="00EA6F54" w:rsidRDefault="00EA6F54" w:rsidP="001F0DCB">
            <w:pPr>
              <w:jc w:val="right"/>
            </w:pPr>
          </w:p>
        </w:tc>
      </w:tr>
      <w:tr w:rsidR="00EA6F54" w:rsidTr="00EA6F54">
        <w:tc>
          <w:tcPr>
            <w:tcW w:w="5949" w:type="dxa"/>
          </w:tcPr>
          <w:p w:rsidR="00EA6F54" w:rsidRDefault="00EA6F54" w:rsidP="00EA6F54">
            <w:pPr>
              <w:jc w:val="both"/>
            </w:pPr>
          </w:p>
        </w:tc>
        <w:tc>
          <w:tcPr>
            <w:tcW w:w="2545" w:type="dxa"/>
          </w:tcPr>
          <w:p w:rsidR="00506E0F" w:rsidRDefault="00506E0F" w:rsidP="00506E0F">
            <w:pPr>
              <w:jc w:val="right"/>
            </w:pPr>
          </w:p>
        </w:tc>
      </w:tr>
      <w:tr w:rsidR="00EA6F54" w:rsidTr="00EA6F54">
        <w:tc>
          <w:tcPr>
            <w:tcW w:w="5949" w:type="dxa"/>
          </w:tcPr>
          <w:p w:rsidR="00EA6F54" w:rsidRPr="00EA6F54" w:rsidRDefault="00EA6F54" w:rsidP="00EA6F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Outros Rendimentos</w:t>
            </w:r>
          </w:p>
        </w:tc>
        <w:tc>
          <w:tcPr>
            <w:tcW w:w="2545" w:type="dxa"/>
          </w:tcPr>
          <w:p w:rsidR="00EA6F54" w:rsidRPr="00EC14E7" w:rsidRDefault="00421D2B" w:rsidP="001F0D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66 733,07</w:t>
            </w:r>
          </w:p>
        </w:tc>
      </w:tr>
      <w:tr w:rsidR="00EA6F54" w:rsidTr="00EA6F54">
        <w:tc>
          <w:tcPr>
            <w:tcW w:w="5949" w:type="dxa"/>
          </w:tcPr>
          <w:p w:rsidR="00EA6F54" w:rsidRDefault="00506E0F" w:rsidP="00EA6F54">
            <w:pPr>
              <w:jc w:val="both"/>
            </w:pPr>
            <w:r>
              <w:t>Consignação IRS</w:t>
            </w:r>
            <w:r w:rsidR="00F46C9C">
              <w:t xml:space="preserve"> + 15% IVA Suportado IRS</w:t>
            </w:r>
          </w:p>
        </w:tc>
        <w:tc>
          <w:tcPr>
            <w:tcW w:w="2545" w:type="dxa"/>
          </w:tcPr>
          <w:p w:rsidR="00EA6F54" w:rsidRDefault="00421D2B" w:rsidP="001F0DCB">
            <w:pPr>
              <w:jc w:val="right"/>
            </w:pPr>
            <w:r>
              <w:t>8</w:t>
            </w:r>
            <w:r w:rsidR="00F46C9C">
              <w:t>37</w:t>
            </w:r>
            <w:r>
              <w:t>,</w:t>
            </w:r>
            <w:r w:rsidR="00F46C9C">
              <w:t>14</w:t>
            </w:r>
          </w:p>
        </w:tc>
      </w:tr>
      <w:tr w:rsidR="00EA6F54" w:rsidTr="00EA6F54">
        <w:tc>
          <w:tcPr>
            <w:tcW w:w="5949" w:type="dxa"/>
          </w:tcPr>
          <w:p w:rsidR="00EA6F54" w:rsidRDefault="00EC14E7" w:rsidP="00EA6F54">
            <w:pPr>
              <w:jc w:val="both"/>
            </w:pPr>
            <w:r>
              <w:t>Donativos</w:t>
            </w:r>
          </w:p>
        </w:tc>
        <w:tc>
          <w:tcPr>
            <w:tcW w:w="2545" w:type="dxa"/>
          </w:tcPr>
          <w:p w:rsidR="00EA6F54" w:rsidRDefault="00421D2B" w:rsidP="001F0DCB">
            <w:pPr>
              <w:jc w:val="right"/>
            </w:pPr>
            <w:r>
              <w:t>65 348,93</w:t>
            </w:r>
          </w:p>
        </w:tc>
      </w:tr>
      <w:tr w:rsidR="00EA6F54" w:rsidTr="00EA6F54">
        <w:tc>
          <w:tcPr>
            <w:tcW w:w="5949" w:type="dxa"/>
          </w:tcPr>
          <w:p w:rsidR="00EA6F54" w:rsidRDefault="000D47F2" w:rsidP="00EA6F54">
            <w:pPr>
              <w:jc w:val="both"/>
            </w:pPr>
            <w:r>
              <w:t>Rendimentos suplementares</w:t>
            </w:r>
          </w:p>
        </w:tc>
        <w:tc>
          <w:tcPr>
            <w:tcW w:w="2545" w:type="dxa"/>
          </w:tcPr>
          <w:p w:rsidR="00EA6F54" w:rsidRDefault="00421D2B" w:rsidP="001F0DCB">
            <w:pPr>
              <w:jc w:val="right"/>
            </w:pPr>
            <w:r>
              <w:t>547,00</w:t>
            </w:r>
          </w:p>
        </w:tc>
      </w:tr>
      <w:tr w:rsidR="00EA6F54" w:rsidTr="00EA6F54">
        <w:tc>
          <w:tcPr>
            <w:tcW w:w="5949" w:type="dxa"/>
          </w:tcPr>
          <w:p w:rsidR="00EA6F54" w:rsidRDefault="00D7654A" w:rsidP="00EA6F54">
            <w:pPr>
              <w:jc w:val="both"/>
            </w:pPr>
            <w:r>
              <w:t>Restituição Impostos</w:t>
            </w:r>
          </w:p>
        </w:tc>
        <w:tc>
          <w:tcPr>
            <w:tcW w:w="2545" w:type="dxa"/>
          </w:tcPr>
          <w:p w:rsidR="00EA6F54" w:rsidRDefault="00F46C9C" w:rsidP="001F0DCB">
            <w:pPr>
              <w:jc w:val="right"/>
            </w:pPr>
            <w:r>
              <w:t>0,00</w:t>
            </w:r>
          </w:p>
        </w:tc>
      </w:tr>
      <w:tr w:rsidR="00EA6F54" w:rsidTr="00EA6F54">
        <w:tc>
          <w:tcPr>
            <w:tcW w:w="5949" w:type="dxa"/>
          </w:tcPr>
          <w:p w:rsidR="00EA6F54" w:rsidRPr="00EA6F54" w:rsidRDefault="00EA6F54" w:rsidP="00EA6F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Juros</w:t>
            </w:r>
          </w:p>
        </w:tc>
        <w:tc>
          <w:tcPr>
            <w:tcW w:w="2545" w:type="dxa"/>
          </w:tcPr>
          <w:p w:rsidR="00EA6F54" w:rsidRDefault="00EA6F54" w:rsidP="001F0DCB">
            <w:pPr>
              <w:jc w:val="right"/>
            </w:pPr>
          </w:p>
        </w:tc>
      </w:tr>
      <w:tr w:rsidR="00EA6F54" w:rsidTr="00EA6F54">
        <w:tc>
          <w:tcPr>
            <w:tcW w:w="5949" w:type="dxa"/>
          </w:tcPr>
          <w:p w:rsidR="00EA6F54" w:rsidRDefault="00F46C9C" w:rsidP="00EA6F54">
            <w:pPr>
              <w:jc w:val="both"/>
            </w:pPr>
            <w:r>
              <w:t>Outros Juros</w:t>
            </w:r>
          </w:p>
        </w:tc>
        <w:tc>
          <w:tcPr>
            <w:tcW w:w="2545" w:type="dxa"/>
          </w:tcPr>
          <w:p w:rsidR="00EA6F54" w:rsidRDefault="00F46C9C" w:rsidP="001F0DCB">
            <w:pPr>
              <w:jc w:val="right"/>
            </w:pPr>
            <w:r>
              <w:t>135,57</w:t>
            </w:r>
          </w:p>
        </w:tc>
      </w:tr>
      <w:tr w:rsidR="00EA6F54" w:rsidTr="00EA6F54">
        <w:tc>
          <w:tcPr>
            <w:tcW w:w="5949" w:type="dxa"/>
          </w:tcPr>
          <w:p w:rsidR="00EA6F54" w:rsidRPr="00EA6F54" w:rsidRDefault="00EA6F54" w:rsidP="00EA6F54">
            <w:pPr>
              <w:jc w:val="both"/>
              <w:rPr>
                <w:b/>
                <w:bCs/>
              </w:rPr>
            </w:pPr>
            <w:r w:rsidRPr="00EA6F54">
              <w:rPr>
                <w:b/>
                <w:bCs/>
              </w:rPr>
              <w:t>TOTAL</w:t>
            </w:r>
          </w:p>
        </w:tc>
        <w:tc>
          <w:tcPr>
            <w:tcW w:w="2545" w:type="dxa"/>
          </w:tcPr>
          <w:p w:rsidR="00EA6F54" w:rsidRPr="001F0DCB" w:rsidRDefault="00F46C9C" w:rsidP="001F0D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168 729,09</w:t>
            </w:r>
          </w:p>
        </w:tc>
      </w:tr>
    </w:tbl>
    <w:p w:rsidR="00EA6F54" w:rsidRDefault="00EA6F54" w:rsidP="00EA6F54">
      <w:pPr>
        <w:jc w:val="both"/>
      </w:pPr>
    </w:p>
    <w:p w:rsidR="00B330B3" w:rsidRDefault="00B330B3" w:rsidP="00EA6F54">
      <w:pPr>
        <w:jc w:val="both"/>
      </w:pPr>
    </w:p>
    <w:p w:rsidR="00665C43" w:rsidRPr="00665C43" w:rsidRDefault="00665C43" w:rsidP="00C20743">
      <w:pPr>
        <w:pStyle w:val="Ttulo1"/>
      </w:pPr>
      <w:bookmarkStart w:id="22" w:name="_Toc78212534"/>
      <w:r w:rsidRPr="00665C43">
        <w:lastRenderedPageBreak/>
        <w:t>9 Subsídios do Governo e apoios do Governo</w:t>
      </w:r>
      <w:bookmarkEnd w:id="22"/>
    </w:p>
    <w:p w:rsidR="00EA6F54" w:rsidRDefault="00665C43" w:rsidP="00665C43">
      <w:pPr>
        <w:jc w:val="both"/>
      </w:pPr>
      <w:r>
        <w:t xml:space="preserve">A 31 de Dezembro de </w:t>
      </w:r>
      <w:r w:rsidR="00FA760B">
        <w:t>202</w:t>
      </w:r>
      <w:r w:rsidR="00F46C9C">
        <w:t>2</w:t>
      </w:r>
      <w:r>
        <w:t>, a Entidade tinha os seguintes saldos nas rubricas de “Subsídios do Governo” e “Apoios do Governo”:</w:t>
      </w:r>
    </w:p>
    <w:tbl>
      <w:tblPr>
        <w:tblStyle w:val="Tabelacomgrelha"/>
        <w:tblW w:w="0" w:type="auto"/>
        <w:tblLook w:val="04A0"/>
      </w:tblPr>
      <w:tblGrid>
        <w:gridCol w:w="3256"/>
        <w:gridCol w:w="1995"/>
        <w:gridCol w:w="1612"/>
        <w:gridCol w:w="1631"/>
      </w:tblGrid>
      <w:tr w:rsidR="00ED4F40" w:rsidTr="00ED4F40">
        <w:tc>
          <w:tcPr>
            <w:tcW w:w="3256" w:type="dxa"/>
            <w:vMerge w:val="restart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995" w:type="dxa"/>
            <w:vMerge w:val="restart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NATUREZA</w:t>
            </w:r>
          </w:p>
        </w:tc>
        <w:tc>
          <w:tcPr>
            <w:tcW w:w="3243" w:type="dxa"/>
            <w:gridSpan w:val="2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F46C9C">
              <w:rPr>
                <w:b/>
                <w:bCs/>
              </w:rPr>
              <w:t>2</w:t>
            </w:r>
          </w:p>
        </w:tc>
      </w:tr>
      <w:tr w:rsidR="00ED4F40" w:rsidTr="00ED4F40">
        <w:tc>
          <w:tcPr>
            <w:tcW w:w="3256" w:type="dxa"/>
            <w:vMerge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vMerge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OPERACIONAIS</w:t>
            </w:r>
          </w:p>
        </w:tc>
        <w:tc>
          <w:tcPr>
            <w:tcW w:w="1631" w:type="dxa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INVESTIMENTO</w:t>
            </w:r>
          </w:p>
        </w:tc>
      </w:tr>
      <w:tr w:rsidR="00ED4F40" w:rsidTr="00ED4F40">
        <w:tc>
          <w:tcPr>
            <w:tcW w:w="3256" w:type="dxa"/>
          </w:tcPr>
          <w:p w:rsidR="00ED4F40" w:rsidRDefault="00ED4F40" w:rsidP="00665C43">
            <w:pPr>
              <w:jc w:val="both"/>
            </w:pPr>
            <w:r>
              <w:t>ISS</w:t>
            </w:r>
            <w:r w:rsidR="000A522F">
              <w:t>, IP</w:t>
            </w:r>
            <w:r>
              <w:t xml:space="preserve"> (Dotação)</w:t>
            </w:r>
          </w:p>
        </w:tc>
        <w:tc>
          <w:tcPr>
            <w:tcW w:w="1995" w:type="dxa"/>
          </w:tcPr>
          <w:p w:rsidR="00ED4F40" w:rsidRDefault="00ED4F40" w:rsidP="00665C43">
            <w:pPr>
              <w:jc w:val="both"/>
            </w:pPr>
            <w:r>
              <w:t>Não Reembolsável</w:t>
            </w:r>
          </w:p>
        </w:tc>
        <w:tc>
          <w:tcPr>
            <w:tcW w:w="1612" w:type="dxa"/>
          </w:tcPr>
          <w:p w:rsidR="00ED4F40" w:rsidRDefault="000D47F2" w:rsidP="001F0DCB">
            <w:pPr>
              <w:jc w:val="right"/>
            </w:pPr>
            <w:r>
              <w:t>1</w:t>
            </w:r>
            <w:r w:rsidR="00526E2C">
              <w:t>4</w:t>
            </w:r>
            <w:r w:rsidR="00E3265E">
              <w:t>0 546,95</w:t>
            </w:r>
          </w:p>
        </w:tc>
        <w:tc>
          <w:tcPr>
            <w:tcW w:w="1631" w:type="dxa"/>
          </w:tcPr>
          <w:p w:rsidR="00ED4F40" w:rsidRDefault="00ED4F40" w:rsidP="00665C43">
            <w:pPr>
              <w:jc w:val="both"/>
            </w:pPr>
          </w:p>
        </w:tc>
      </w:tr>
      <w:tr w:rsidR="00ED4F40" w:rsidTr="00ED4F40">
        <w:tc>
          <w:tcPr>
            <w:tcW w:w="3256" w:type="dxa"/>
          </w:tcPr>
          <w:p w:rsidR="00ED4F40" w:rsidRDefault="00ED4F40" w:rsidP="00665C43">
            <w:pPr>
              <w:jc w:val="both"/>
            </w:pPr>
            <w:r>
              <w:t>I</w:t>
            </w:r>
            <w:r w:rsidR="00E3265E">
              <w:t>APMEI</w:t>
            </w:r>
          </w:p>
        </w:tc>
        <w:tc>
          <w:tcPr>
            <w:tcW w:w="1995" w:type="dxa"/>
          </w:tcPr>
          <w:p w:rsidR="00ED4F40" w:rsidRDefault="00ED4F40" w:rsidP="00665C43">
            <w:pPr>
              <w:jc w:val="both"/>
            </w:pPr>
            <w:r>
              <w:t>Não Reembolsável</w:t>
            </w:r>
          </w:p>
        </w:tc>
        <w:tc>
          <w:tcPr>
            <w:tcW w:w="1612" w:type="dxa"/>
          </w:tcPr>
          <w:p w:rsidR="00ED4F40" w:rsidRDefault="00E3265E" w:rsidP="001F0DCB">
            <w:pPr>
              <w:jc w:val="right"/>
            </w:pPr>
            <w:r>
              <w:t>504,00</w:t>
            </w:r>
          </w:p>
        </w:tc>
        <w:tc>
          <w:tcPr>
            <w:tcW w:w="1631" w:type="dxa"/>
          </w:tcPr>
          <w:p w:rsidR="00ED4F40" w:rsidRDefault="00ED4F40" w:rsidP="00665C43">
            <w:pPr>
              <w:jc w:val="both"/>
            </w:pPr>
          </w:p>
        </w:tc>
      </w:tr>
    </w:tbl>
    <w:p w:rsidR="00ED4F40" w:rsidRPr="00ED4F40" w:rsidRDefault="00ED4F40" w:rsidP="00C20743">
      <w:pPr>
        <w:pStyle w:val="Ttulo1"/>
      </w:pPr>
      <w:bookmarkStart w:id="23" w:name="_Toc78212535"/>
      <w:r w:rsidRPr="00ED4F40">
        <w:t>10 Benefícios dos empregados</w:t>
      </w:r>
      <w:bookmarkEnd w:id="23"/>
    </w:p>
    <w:p w:rsidR="00ED4F40" w:rsidRPr="00C271F0" w:rsidRDefault="00ED4F40" w:rsidP="00ED4F40">
      <w:pPr>
        <w:jc w:val="both"/>
      </w:pPr>
      <w:r>
        <w:t xml:space="preserve">O número de membros dos órgãos diretivos é de </w:t>
      </w:r>
      <w:r w:rsidR="00C271F0">
        <w:t>1</w:t>
      </w:r>
      <w:r w:rsidR="00625D70">
        <w:t xml:space="preserve"> elemento.</w:t>
      </w:r>
    </w:p>
    <w:p w:rsidR="00ED4F40" w:rsidRDefault="00ED4F40" w:rsidP="00ED4F40">
      <w:pPr>
        <w:jc w:val="both"/>
      </w:pPr>
      <w:r>
        <w:t>O número médio de pessoas ao serviço da instituição durante o exercício de 20</w:t>
      </w:r>
      <w:r w:rsidR="000D47F2">
        <w:t>2</w:t>
      </w:r>
      <w:r w:rsidR="008E61DD">
        <w:t>2</w:t>
      </w:r>
      <w:r>
        <w:t xml:space="preserve"> foi de </w:t>
      </w:r>
      <w:r w:rsidR="00FF1AE0">
        <w:t>1</w:t>
      </w:r>
      <w:r w:rsidR="00C43758">
        <w:t>2</w:t>
      </w:r>
      <w:r>
        <w:t>.</w:t>
      </w:r>
    </w:p>
    <w:p w:rsidR="00ED4F40" w:rsidRDefault="00ED4F40" w:rsidP="00ED4F40">
      <w:pPr>
        <w:jc w:val="both"/>
      </w:pPr>
      <w:r>
        <w:t>Os gastos que a Entidade incorreu com os funcionários foram os seguintes:</w:t>
      </w:r>
    </w:p>
    <w:tbl>
      <w:tblPr>
        <w:tblStyle w:val="Tabelacomgrelha"/>
        <w:tblW w:w="0" w:type="auto"/>
        <w:tblLook w:val="04A0"/>
      </w:tblPr>
      <w:tblGrid>
        <w:gridCol w:w="6658"/>
        <w:gridCol w:w="1836"/>
      </w:tblGrid>
      <w:tr w:rsidR="00ED4F40" w:rsidTr="00ED4F40">
        <w:tc>
          <w:tcPr>
            <w:tcW w:w="6658" w:type="dxa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836" w:type="dxa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8E61DD">
              <w:rPr>
                <w:b/>
                <w:bCs/>
              </w:rPr>
              <w:t>2</w:t>
            </w:r>
          </w:p>
        </w:tc>
      </w:tr>
      <w:tr w:rsidR="00ED4F40" w:rsidTr="00ED4F40">
        <w:tc>
          <w:tcPr>
            <w:tcW w:w="6658" w:type="dxa"/>
          </w:tcPr>
          <w:p w:rsidR="00ED4F40" w:rsidRDefault="00ED4F40" w:rsidP="00ED4F40">
            <w:pPr>
              <w:jc w:val="both"/>
            </w:pPr>
            <w:r>
              <w:t>Remunerações do Pessoal</w:t>
            </w:r>
          </w:p>
        </w:tc>
        <w:tc>
          <w:tcPr>
            <w:tcW w:w="1836" w:type="dxa"/>
          </w:tcPr>
          <w:p w:rsidR="00ED4F40" w:rsidRDefault="000D47F2" w:rsidP="001F0DCB">
            <w:pPr>
              <w:jc w:val="right"/>
            </w:pPr>
            <w:r>
              <w:t>1</w:t>
            </w:r>
            <w:r w:rsidR="00352FBC">
              <w:t>32 536,51</w:t>
            </w:r>
          </w:p>
        </w:tc>
      </w:tr>
      <w:tr w:rsidR="00ED4F40" w:rsidTr="00ED4F40">
        <w:tc>
          <w:tcPr>
            <w:tcW w:w="6658" w:type="dxa"/>
          </w:tcPr>
          <w:p w:rsidR="00ED4F40" w:rsidRDefault="00ED4F40" w:rsidP="00ED4F40">
            <w:pPr>
              <w:jc w:val="both"/>
            </w:pPr>
            <w:r>
              <w:t>Indemnizações</w:t>
            </w:r>
          </w:p>
        </w:tc>
        <w:tc>
          <w:tcPr>
            <w:tcW w:w="1836" w:type="dxa"/>
          </w:tcPr>
          <w:p w:rsidR="00ED4F40" w:rsidRDefault="00ED4F40" w:rsidP="001F0DCB">
            <w:pPr>
              <w:jc w:val="right"/>
            </w:pPr>
          </w:p>
        </w:tc>
      </w:tr>
      <w:tr w:rsidR="00ED4F40" w:rsidTr="00ED4F40">
        <w:tc>
          <w:tcPr>
            <w:tcW w:w="6658" w:type="dxa"/>
          </w:tcPr>
          <w:p w:rsidR="00ED4F40" w:rsidRDefault="00ED4F40" w:rsidP="00ED4F40">
            <w:pPr>
              <w:jc w:val="both"/>
            </w:pPr>
            <w:r>
              <w:t>Encargos Sobre as Remunerações</w:t>
            </w:r>
          </w:p>
        </w:tc>
        <w:tc>
          <w:tcPr>
            <w:tcW w:w="1836" w:type="dxa"/>
          </w:tcPr>
          <w:p w:rsidR="00ED4F40" w:rsidRDefault="000D47F2" w:rsidP="001F0DCB">
            <w:pPr>
              <w:jc w:val="right"/>
            </w:pPr>
            <w:r>
              <w:t>2</w:t>
            </w:r>
            <w:r w:rsidR="00352FBC">
              <w:t>9 442,51</w:t>
            </w:r>
          </w:p>
        </w:tc>
      </w:tr>
      <w:tr w:rsidR="00ED4F40" w:rsidTr="00ED4F40">
        <w:tc>
          <w:tcPr>
            <w:tcW w:w="6658" w:type="dxa"/>
          </w:tcPr>
          <w:p w:rsidR="00ED4F40" w:rsidRDefault="00ED4F40" w:rsidP="00ED4F40">
            <w:pPr>
              <w:jc w:val="both"/>
            </w:pPr>
            <w:r>
              <w:t>Seguros de Acidentes Trabalho e Doenças Profissionais</w:t>
            </w:r>
          </w:p>
        </w:tc>
        <w:tc>
          <w:tcPr>
            <w:tcW w:w="1836" w:type="dxa"/>
          </w:tcPr>
          <w:p w:rsidR="00ED4F40" w:rsidRDefault="00352FBC" w:rsidP="00352FBC">
            <w:pPr>
              <w:jc w:val="right"/>
            </w:pPr>
            <w:r>
              <w:t>1 136,81</w:t>
            </w:r>
          </w:p>
        </w:tc>
      </w:tr>
      <w:tr w:rsidR="00ED4F40" w:rsidTr="00ED4F40">
        <w:tc>
          <w:tcPr>
            <w:tcW w:w="6658" w:type="dxa"/>
          </w:tcPr>
          <w:p w:rsidR="00ED4F40" w:rsidRDefault="00ED4F40" w:rsidP="00ED4F40">
            <w:pPr>
              <w:jc w:val="both"/>
            </w:pPr>
            <w:r>
              <w:t>Outros Gastos com Pessoal</w:t>
            </w:r>
          </w:p>
        </w:tc>
        <w:tc>
          <w:tcPr>
            <w:tcW w:w="1836" w:type="dxa"/>
          </w:tcPr>
          <w:p w:rsidR="00ED4F40" w:rsidRDefault="00352FBC" w:rsidP="001F0DCB">
            <w:pPr>
              <w:jc w:val="right"/>
            </w:pPr>
            <w:r>
              <w:t>386</w:t>
            </w:r>
            <w:r w:rsidR="00A56A06">
              <w:t>,</w:t>
            </w:r>
            <w:r>
              <w:t>90</w:t>
            </w:r>
          </w:p>
        </w:tc>
      </w:tr>
      <w:tr w:rsidR="00ED4F40" w:rsidTr="00ED4F40">
        <w:tc>
          <w:tcPr>
            <w:tcW w:w="6658" w:type="dxa"/>
          </w:tcPr>
          <w:p w:rsidR="00ED4F40" w:rsidRDefault="00ED4F40" w:rsidP="00ED4F40">
            <w:pPr>
              <w:jc w:val="both"/>
            </w:pPr>
            <w:r>
              <w:t>Estágios (IEFP)</w:t>
            </w:r>
          </w:p>
        </w:tc>
        <w:tc>
          <w:tcPr>
            <w:tcW w:w="1836" w:type="dxa"/>
          </w:tcPr>
          <w:p w:rsidR="00ED4F40" w:rsidRDefault="00ED4F40" w:rsidP="001F0DCB">
            <w:pPr>
              <w:jc w:val="right"/>
            </w:pPr>
          </w:p>
        </w:tc>
      </w:tr>
      <w:tr w:rsidR="00ED4F40" w:rsidTr="00ED4F40">
        <w:tc>
          <w:tcPr>
            <w:tcW w:w="6658" w:type="dxa"/>
          </w:tcPr>
          <w:p w:rsidR="00ED4F40" w:rsidRPr="00ED4F40" w:rsidRDefault="00ED4F40" w:rsidP="00ED4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36" w:type="dxa"/>
          </w:tcPr>
          <w:p w:rsidR="00ED4F40" w:rsidRPr="001F0DCB" w:rsidRDefault="000D47F2" w:rsidP="001F0D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2FBC">
              <w:rPr>
                <w:b/>
                <w:bCs/>
              </w:rPr>
              <w:t>63 502,73</w:t>
            </w:r>
          </w:p>
        </w:tc>
      </w:tr>
    </w:tbl>
    <w:p w:rsidR="00ED4F40" w:rsidRPr="00ED4F40" w:rsidRDefault="00ED4F40" w:rsidP="00C20743">
      <w:pPr>
        <w:pStyle w:val="Ttulo1"/>
      </w:pPr>
      <w:bookmarkStart w:id="24" w:name="_Toc78212536"/>
      <w:r w:rsidRPr="00ED4F40">
        <w:t>11 Divulgações exigidas por outros diplomas legais</w:t>
      </w:r>
      <w:bookmarkEnd w:id="24"/>
    </w:p>
    <w:p w:rsidR="00ED4F40" w:rsidRDefault="00ED4F40" w:rsidP="00ED4F40">
      <w:pPr>
        <w:jc w:val="both"/>
      </w:pPr>
      <w:r>
        <w:t>A Entidade não apresenta dívidas ao Estado em situação de mora, nos termos do Decreto-Lei 534/80, de 7 de Novembro.</w:t>
      </w:r>
    </w:p>
    <w:p w:rsidR="00ED4F40" w:rsidRDefault="00ED4F40" w:rsidP="00ED4F40">
      <w:pPr>
        <w:jc w:val="both"/>
      </w:pPr>
      <w:r>
        <w:t>Informa-se que a situação da Entidade perante a Segurança Social se encontra regularizada dentro dos prazos legalmente estipulados</w:t>
      </w:r>
    </w:p>
    <w:p w:rsidR="00ED4F40" w:rsidRPr="00ED4F40" w:rsidRDefault="00ED4F40" w:rsidP="00C20743">
      <w:pPr>
        <w:pStyle w:val="Ttulo1"/>
      </w:pPr>
      <w:bookmarkStart w:id="25" w:name="_Toc78212537"/>
      <w:r w:rsidRPr="00ED4F40">
        <w:t>12 Outras divulgações</w:t>
      </w:r>
      <w:bookmarkEnd w:id="25"/>
    </w:p>
    <w:p w:rsidR="00ED4F40" w:rsidRDefault="00ED4F40" w:rsidP="00ED4F40">
      <w:pPr>
        <w:jc w:val="both"/>
      </w:pPr>
      <w:r>
        <w:t>De forma a uma melhor compreensão das restantes demonstrações financeiras, são divulgadas as seguintes informações:</w:t>
      </w:r>
    </w:p>
    <w:p w:rsidR="00ED4F40" w:rsidRPr="00ED4F40" w:rsidRDefault="00ED4F40" w:rsidP="00C20743">
      <w:pPr>
        <w:pStyle w:val="Ttulo2"/>
      </w:pPr>
      <w:bookmarkStart w:id="26" w:name="_Toc78212538"/>
      <w:r w:rsidRPr="00ED4F40">
        <w:t>12.1 Créditos a receber</w:t>
      </w:r>
      <w:bookmarkEnd w:id="26"/>
    </w:p>
    <w:p w:rsidR="00ED4F40" w:rsidRDefault="00ED4F40" w:rsidP="00ED4F40">
      <w:pPr>
        <w:jc w:val="both"/>
      </w:pPr>
      <w:r>
        <w:t>Para o período de 20</w:t>
      </w:r>
      <w:r w:rsidR="000D47F2">
        <w:t>2</w:t>
      </w:r>
      <w:r w:rsidR="00E06684">
        <w:t>2</w:t>
      </w:r>
      <w:r>
        <w:t xml:space="preserve"> a rubrica “Utentes” encontra-se desagregada da seguinte forma:</w:t>
      </w:r>
    </w:p>
    <w:tbl>
      <w:tblPr>
        <w:tblStyle w:val="Tabelacomgrelha"/>
        <w:tblW w:w="0" w:type="auto"/>
        <w:tblLook w:val="04A0"/>
      </w:tblPr>
      <w:tblGrid>
        <w:gridCol w:w="6374"/>
        <w:gridCol w:w="2120"/>
      </w:tblGrid>
      <w:tr w:rsidR="00ED4F40" w:rsidTr="00ED4F40">
        <w:tc>
          <w:tcPr>
            <w:tcW w:w="6374" w:type="dxa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120" w:type="dxa"/>
          </w:tcPr>
          <w:p w:rsidR="00ED4F40" w:rsidRPr="00ED4F40" w:rsidRDefault="00ED4F40" w:rsidP="00ED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E06684">
              <w:rPr>
                <w:b/>
                <w:bCs/>
              </w:rPr>
              <w:t>2</w:t>
            </w:r>
          </w:p>
        </w:tc>
      </w:tr>
      <w:tr w:rsidR="00ED4F40" w:rsidTr="00ED4F40">
        <w:tc>
          <w:tcPr>
            <w:tcW w:w="6374" w:type="dxa"/>
          </w:tcPr>
          <w:p w:rsidR="00ED4F40" w:rsidRPr="00ED4F40" w:rsidRDefault="00ED4F40" w:rsidP="00ED4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Clientes e Utentes C/C</w:t>
            </w:r>
          </w:p>
        </w:tc>
        <w:tc>
          <w:tcPr>
            <w:tcW w:w="2120" w:type="dxa"/>
          </w:tcPr>
          <w:p w:rsidR="00ED4F40" w:rsidRDefault="00ED4F40" w:rsidP="00ED4F40">
            <w:pPr>
              <w:jc w:val="both"/>
            </w:pPr>
          </w:p>
        </w:tc>
      </w:tr>
      <w:tr w:rsidR="00ED4F40" w:rsidTr="00ED4F40">
        <w:tc>
          <w:tcPr>
            <w:tcW w:w="6374" w:type="dxa"/>
          </w:tcPr>
          <w:p w:rsidR="00ED4F40" w:rsidRDefault="00ED4F40" w:rsidP="00ED4F40">
            <w:pPr>
              <w:jc w:val="both"/>
            </w:pPr>
            <w:r>
              <w:t>Utentes</w:t>
            </w:r>
          </w:p>
        </w:tc>
        <w:tc>
          <w:tcPr>
            <w:tcW w:w="2120" w:type="dxa"/>
          </w:tcPr>
          <w:p w:rsidR="00ED4F40" w:rsidRDefault="00421A43" w:rsidP="00521F72">
            <w:pPr>
              <w:jc w:val="right"/>
            </w:pPr>
            <w:r>
              <w:t>960,16</w:t>
            </w:r>
          </w:p>
        </w:tc>
      </w:tr>
      <w:tr w:rsidR="00ED4F40" w:rsidRPr="001F0DCB" w:rsidTr="00ED4F40">
        <w:tc>
          <w:tcPr>
            <w:tcW w:w="6374" w:type="dxa"/>
          </w:tcPr>
          <w:p w:rsidR="00ED4F40" w:rsidRPr="00ED4F40" w:rsidRDefault="00ED4F40" w:rsidP="00ED4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20" w:type="dxa"/>
          </w:tcPr>
          <w:p w:rsidR="00ED4F40" w:rsidRPr="001F0DCB" w:rsidRDefault="00521F72" w:rsidP="00521F72">
            <w:pPr>
              <w:tabs>
                <w:tab w:val="center" w:pos="952"/>
                <w:tab w:val="right" w:pos="190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421A43">
              <w:rPr>
                <w:b/>
                <w:bCs/>
              </w:rPr>
              <w:t>960,16</w:t>
            </w:r>
          </w:p>
        </w:tc>
      </w:tr>
    </w:tbl>
    <w:p w:rsidR="00ED4F40" w:rsidRPr="00ED4F40" w:rsidRDefault="00ED4F40" w:rsidP="00C20743">
      <w:pPr>
        <w:pStyle w:val="Ttulo2"/>
      </w:pPr>
      <w:bookmarkStart w:id="27" w:name="_Toc78212539"/>
      <w:r w:rsidRPr="00ED4F40">
        <w:lastRenderedPageBreak/>
        <w:t>12.2 Outros ativos correntes</w:t>
      </w:r>
      <w:bookmarkEnd w:id="27"/>
    </w:p>
    <w:p w:rsidR="00ED4F40" w:rsidRDefault="00ED4F40" w:rsidP="00ED4F40">
      <w:pPr>
        <w:jc w:val="both"/>
      </w:pPr>
      <w:r>
        <w:t>A rubrica “Outros ativos correntes” tinha, em 31 de Dezembro de 20</w:t>
      </w:r>
      <w:r w:rsidR="000D47F2">
        <w:t>2</w:t>
      </w:r>
      <w:r w:rsidR="00421A43">
        <w:t>2</w:t>
      </w:r>
      <w:r>
        <w:t>, a seguinte decomposição:</w:t>
      </w:r>
    </w:p>
    <w:tbl>
      <w:tblPr>
        <w:tblStyle w:val="Tabelacomgrelha"/>
        <w:tblW w:w="0" w:type="auto"/>
        <w:tblLook w:val="04A0"/>
      </w:tblPr>
      <w:tblGrid>
        <w:gridCol w:w="6374"/>
        <w:gridCol w:w="2120"/>
      </w:tblGrid>
      <w:tr w:rsidR="008A703B" w:rsidTr="008A703B">
        <w:tc>
          <w:tcPr>
            <w:tcW w:w="6374" w:type="dxa"/>
          </w:tcPr>
          <w:p w:rsidR="008A703B" w:rsidRPr="008A703B" w:rsidRDefault="008A703B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120" w:type="dxa"/>
          </w:tcPr>
          <w:p w:rsidR="008A703B" w:rsidRPr="008A703B" w:rsidRDefault="008A703B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421A43">
              <w:rPr>
                <w:b/>
                <w:bCs/>
              </w:rPr>
              <w:t>2</w:t>
            </w:r>
          </w:p>
        </w:tc>
      </w:tr>
      <w:tr w:rsidR="008A703B" w:rsidTr="008A703B">
        <w:tc>
          <w:tcPr>
            <w:tcW w:w="6374" w:type="dxa"/>
          </w:tcPr>
          <w:p w:rsidR="008A703B" w:rsidRPr="008A703B" w:rsidRDefault="008A703B" w:rsidP="00ED4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Outros Ativos Correntes</w:t>
            </w:r>
          </w:p>
        </w:tc>
        <w:tc>
          <w:tcPr>
            <w:tcW w:w="2120" w:type="dxa"/>
          </w:tcPr>
          <w:p w:rsidR="008A703B" w:rsidRDefault="008A703B" w:rsidP="00ED4F40">
            <w:pPr>
              <w:jc w:val="both"/>
            </w:pPr>
          </w:p>
        </w:tc>
      </w:tr>
      <w:tr w:rsidR="008A703B" w:rsidTr="008A703B">
        <w:tc>
          <w:tcPr>
            <w:tcW w:w="6374" w:type="dxa"/>
          </w:tcPr>
          <w:p w:rsidR="008A703B" w:rsidRDefault="008A703B" w:rsidP="00ED4F40">
            <w:pPr>
              <w:jc w:val="both"/>
            </w:pPr>
            <w:r>
              <w:t>Fornecedores (Saldo Devedor)</w:t>
            </w:r>
          </w:p>
        </w:tc>
        <w:tc>
          <w:tcPr>
            <w:tcW w:w="2120" w:type="dxa"/>
          </w:tcPr>
          <w:p w:rsidR="008A703B" w:rsidRDefault="008A703B" w:rsidP="000D47F2">
            <w:pPr>
              <w:jc w:val="right"/>
            </w:pPr>
          </w:p>
        </w:tc>
      </w:tr>
      <w:tr w:rsidR="008A703B" w:rsidTr="008A703B">
        <w:tc>
          <w:tcPr>
            <w:tcW w:w="6374" w:type="dxa"/>
          </w:tcPr>
          <w:p w:rsidR="008A703B" w:rsidRDefault="008A703B" w:rsidP="00ED4F40">
            <w:pPr>
              <w:jc w:val="both"/>
            </w:pPr>
            <w:r>
              <w:t>Pessoal (Saldo Devedor)</w:t>
            </w:r>
          </w:p>
        </w:tc>
        <w:tc>
          <w:tcPr>
            <w:tcW w:w="2120" w:type="dxa"/>
          </w:tcPr>
          <w:p w:rsidR="008A703B" w:rsidRDefault="007667F3" w:rsidP="001F0DCB">
            <w:pPr>
              <w:jc w:val="right"/>
            </w:pPr>
            <w:r w:rsidRPr="00DC1110">
              <w:t>4</w:t>
            </w:r>
            <w:r w:rsidR="00421A43">
              <w:t>68,70</w:t>
            </w:r>
          </w:p>
        </w:tc>
      </w:tr>
      <w:tr w:rsidR="008A703B" w:rsidTr="008A703B">
        <w:tc>
          <w:tcPr>
            <w:tcW w:w="6374" w:type="dxa"/>
          </w:tcPr>
          <w:p w:rsidR="008A703B" w:rsidRDefault="008A703B" w:rsidP="00ED4F40">
            <w:pPr>
              <w:jc w:val="both"/>
            </w:pPr>
            <w:r>
              <w:t>Outros Devedores</w:t>
            </w:r>
          </w:p>
        </w:tc>
        <w:tc>
          <w:tcPr>
            <w:tcW w:w="2120" w:type="dxa"/>
          </w:tcPr>
          <w:p w:rsidR="008A703B" w:rsidRDefault="00DC1110" w:rsidP="00521F72">
            <w:pPr>
              <w:jc w:val="right"/>
            </w:pPr>
            <w:r>
              <w:t>1 458,24</w:t>
            </w:r>
          </w:p>
        </w:tc>
      </w:tr>
      <w:tr w:rsidR="008A703B" w:rsidRPr="001F0DCB" w:rsidTr="008A703B">
        <w:tc>
          <w:tcPr>
            <w:tcW w:w="6374" w:type="dxa"/>
          </w:tcPr>
          <w:p w:rsidR="008A703B" w:rsidRPr="008A703B" w:rsidRDefault="008A703B" w:rsidP="00ED4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20" w:type="dxa"/>
          </w:tcPr>
          <w:p w:rsidR="008A703B" w:rsidRPr="001F0DCB" w:rsidRDefault="00DC1110" w:rsidP="001F0D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0AB1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120AB1">
              <w:rPr>
                <w:b/>
                <w:bCs/>
              </w:rPr>
              <w:t>26,94</w:t>
            </w:r>
          </w:p>
        </w:tc>
      </w:tr>
    </w:tbl>
    <w:p w:rsidR="008644A4" w:rsidRDefault="008644A4" w:rsidP="008A703B">
      <w:pPr>
        <w:jc w:val="both"/>
        <w:rPr>
          <w:b/>
          <w:bCs/>
        </w:rPr>
      </w:pPr>
    </w:p>
    <w:p w:rsidR="008A703B" w:rsidRPr="008A703B" w:rsidRDefault="008A703B" w:rsidP="00C20743">
      <w:pPr>
        <w:pStyle w:val="Ttulo2"/>
      </w:pPr>
      <w:bookmarkStart w:id="28" w:name="_Toc78212540"/>
      <w:r w:rsidRPr="008A703B">
        <w:t>12.3 Diferimentos</w:t>
      </w:r>
      <w:bookmarkEnd w:id="28"/>
    </w:p>
    <w:p w:rsidR="008A703B" w:rsidRDefault="008A703B" w:rsidP="008A703B">
      <w:pPr>
        <w:jc w:val="both"/>
      </w:pPr>
      <w:r>
        <w:t xml:space="preserve">Em 31 de Dezembro de </w:t>
      </w:r>
      <w:r w:rsidR="00FA760B">
        <w:t>202</w:t>
      </w:r>
      <w:r w:rsidR="00120AB1">
        <w:t>2</w:t>
      </w:r>
      <w:r>
        <w:t>, a rubrica “Diferimentos” englobava os seguintes saldos:</w:t>
      </w:r>
    </w:p>
    <w:tbl>
      <w:tblPr>
        <w:tblStyle w:val="Tabelacomgrelha"/>
        <w:tblW w:w="0" w:type="auto"/>
        <w:tblLook w:val="04A0"/>
      </w:tblPr>
      <w:tblGrid>
        <w:gridCol w:w="6658"/>
        <w:gridCol w:w="1836"/>
      </w:tblGrid>
      <w:tr w:rsidR="008A703B" w:rsidTr="008A703B">
        <w:tc>
          <w:tcPr>
            <w:tcW w:w="6658" w:type="dxa"/>
          </w:tcPr>
          <w:p w:rsidR="008A703B" w:rsidRPr="008A703B" w:rsidRDefault="008A703B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836" w:type="dxa"/>
          </w:tcPr>
          <w:p w:rsidR="008A703B" w:rsidRPr="008A703B" w:rsidRDefault="008A703B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120AB1">
              <w:rPr>
                <w:b/>
                <w:bCs/>
              </w:rPr>
              <w:t>2</w:t>
            </w:r>
          </w:p>
        </w:tc>
      </w:tr>
      <w:tr w:rsidR="008A703B" w:rsidTr="008A703B">
        <w:tc>
          <w:tcPr>
            <w:tcW w:w="6658" w:type="dxa"/>
          </w:tcPr>
          <w:p w:rsidR="008A703B" w:rsidRPr="008A703B" w:rsidRDefault="008A703B" w:rsidP="008A703B">
            <w:pPr>
              <w:jc w:val="both"/>
              <w:rPr>
                <w:b/>
                <w:bCs/>
              </w:rPr>
            </w:pPr>
            <w:r w:rsidRPr="008A703B">
              <w:rPr>
                <w:b/>
                <w:bCs/>
              </w:rPr>
              <w:t>Gastos a Reconhecer</w:t>
            </w:r>
          </w:p>
        </w:tc>
        <w:tc>
          <w:tcPr>
            <w:tcW w:w="1836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Seguro Acidentes Trabalho</w:t>
            </w:r>
          </w:p>
        </w:tc>
        <w:tc>
          <w:tcPr>
            <w:tcW w:w="1836" w:type="dxa"/>
          </w:tcPr>
          <w:p w:rsidR="008A703B" w:rsidRDefault="007667F3" w:rsidP="00931BE0">
            <w:pPr>
              <w:jc w:val="right"/>
            </w:pPr>
            <w:r>
              <w:t>2</w:t>
            </w:r>
            <w:r w:rsidR="00AA7C0D">
              <w:t>70,00</w:t>
            </w: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Outros Seguros</w:t>
            </w:r>
          </w:p>
        </w:tc>
        <w:tc>
          <w:tcPr>
            <w:tcW w:w="1836" w:type="dxa"/>
          </w:tcPr>
          <w:p w:rsidR="008A703B" w:rsidRDefault="00AA7C0D" w:rsidP="00931BE0">
            <w:pPr>
              <w:jc w:val="right"/>
            </w:pPr>
            <w:r>
              <w:t>903,35</w:t>
            </w: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Outros</w:t>
            </w:r>
          </w:p>
        </w:tc>
        <w:tc>
          <w:tcPr>
            <w:tcW w:w="1836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8A703B">
        <w:tc>
          <w:tcPr>
            <w:tcW w:w="6658" w:type="dxa"/>
          </w:tcPr>
          <w:p w:rsidR="008A703B" w:rsidRPr="008A703B" w:rsidRDefault="008A703B" w:rsidP="008A7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36" w:type="dxa"/>
          </w:tcPr>
          <w:p w:rsidR="008A703B" w:rsidRPr="00517993" w:rsidRDefault="00521F72" w:rsidP="00931BE0">
            <w:pPr>
              <w:jc w:val="right"/>
              <w:rPr>
                <w:b/>
                <w:bCs/>
                <w:color w:val="FF0000"/>
              </w:rPr>
            </w:pPr>
            <w:r w:rsidRPr="00242B02">
              <w:rPr>
                <w:b/>
                <w:bCs/>
              </w:rPr>
              <w:t>1</w:t>
            </w:r>
            <w:r w:rsidR="00AA7C0D">
              <w:rPr>
                <w:b/>
                <w:bCs/>
              </w:rPr>
              <w:t> 173,35</w:t>
            </w:r>
          </w:p>
        </w:tc>
      </w:tr>
      <w:tr w:rsidR="008A703B" w:rsidTr="008A703B">
        <w:tc>
          <w:tcPr>
            <w:tcW w:w="6658" w:type="dxa"/>
          </w:tcPr>
          <w:p w:rsidR="008A703B" w:rsidRPr="008A703B" w:rsidRDefault="008A703B" w:rsidP="008A7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Rendimentos a Reconhecer</w:t>
            </w:r>
          </w:p>
        </w:tc>
        <w:tc>
          <w:tcPr>
            <w:tcW w:w="1836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Antecipação Quotas</w:t>
            </w:r>
          </w:p>
        </w:tc>
        <w:tc>
          <w:tcPr>
            <w:tcW w:w="1836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Subsídios</w:t>
            </w:r>
          </w:p>
        </w:tc>
        <w:tc>
          <w:tcPr>
            <w:tcW w:w="1836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IEFP</w:t>
            </w:r>
          </w:p>
        </w:tc>
        <w:tc>
          <w:tcPr>
            <w:tcW w:w="1836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Outros</w:t>
            </w:r>
          </w:p>
        </w:tc>
        <w:tc>
          <w:tcPr>
            <w:tcW w:w="1836" w:type="dxa"/>
          </w:tcPr>
          <w:p w:rsidR="008A703B" w:rsidRDefault="00AA7C0D" w:rsidP="00242B02">
            <w:pPr>
              <w:jc w:val="right"/>
            </w:pPr>
            <w:r>
              <w:t>864,06</w:t>
            </w:r>
          </w:p>
        </w:tc>
      </w:tr>
      <w:tr w:rsidR="008A703B" w:rsidTr="008A703B">
        <w:tc>
          <w:tcPr>
            <w:tcW w:w="6658" w:type="dxa"/>
          </w:tcPr>
          <w:p w:rsidR="008A703B" w:rsidRPr="008A703B" w:rsidRDefault="008A703B" w:rsidP="008A7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36" w:type="dxa"/>
          </w:tcPr>
          <w:p w:rsidR="008A703B" w:rsidRPr="00931BE0" w:rsidRDefault="00AA7C0D" w:rsidP="00931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864,06</w:t>
            </w:r>
          </w:p>
        </w:tc>
      </w:tr>
    </w:tbl>
    <w:p w:rsidR="008A703B" w:rsidRDefault="008A703B" w:rsidP="008A703B">
      <w:pPr>
        <w:jc w:val="both"/>
      </w:pPr>
    </w:p>
    <w:p w:rsidR="008A703B" w:rsidRPr="008A703B" w:rsidRDefault="008A703B" w:rsidP="00C20743">
      <w:pPr>
        <w:pStyle w:val="Ttulo2"/>
      </w:pPr>
      <w:bookmarkStart w:id="29" w:name="_Toc78212541"/>
      <w:r w:rsidRPr="008A703B">
        <w:t>12.4 Caixa e Depósitos Bancários</w:t>
      </w:r>
      <w:bookmarkEnd w:id="29"/>
    </w:p>
    <w:p w:rsidR="008A703B" w:rsidRDefault="008A703B" w:rsidP="008A703B">
      <w:pPr>
        <w:jc w:val="both"/>
      </w:pPr>
      <w:r>
        <w:t xml:space="preserve">A rubrica de “Caixa e Depósitos Bancários”, a 31 de Dezembro de </w:t>
      </w:r>
      <w:r w:rsidR="00FA760B">
        <w:t>202</w:t>
      </w:r>
      <w:r w:rsidR="00AA7C0D">
        <w:t>2</w:t>
      </w:r>
      <w:r>
        <w:t>, encontrava-se com os seguintes saldos:</w:t>
      </w:r>
    </w:p>
    <w:tbl>
      <w:tblPr>
        <w:tblStyle w:val="Tabelacomgrelha"/>
        <w:tblW w:w="0" w:type="auto"/>
        <w:tblLook w:val="04A0"/>
      </w:tblPr>
      <w:tblGrid>
        <w:gridCol w:w="6658"/>
        <w:gridCol w:w="1836"/>
      </w:tblGrid>
      <w:tr w:rsidR="008A703B" w:rsidTr="008A703B">
        <w:tc>
          <w:tcPr>
            <w:tcW w:w="6658" w:type="dxa"/>
          </w:tcPr>
          <w:p w:rsidR="008A703B" w:rsidRPr="008A703B" w:rsidRDefault="008A703B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836" w:type="dxa"/>
          </w:tcPr>
          <w:p w:rsidR="008A703B" w:rsidRPr="008A703B" w:rsidRDefault="008A703B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AA7C0D">
              <w:rPr>
                <w:b/>
                <w:bCs/>
              </w:rPr>
              <w:t>2</w:t>
            </w:r>
          </w:p>
        </w:tc>
      </w:tr>
      <w:tr w:rsidR="008A703B" w:rsidTr="008A703B">
        <w:tc>
          <w:tcPr>
            <w:tcW w:w="6658" w:type="dxa"/>
          </w:tcPr>
          <w:p w:rsidR="008A703B" w:rsidRPr="008A703B" w:rsidRDefault="008A703B" w:rsidP="008A7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Caixa e Depósitos Bancários</w:t>
            </w:r>
          </w:p>
        </w:tc>
        <w:tc>
          <w:tcPr>
            <w:tcW w:w="1836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Caixa</w:t>
            </w:r>
          </w:p>
        </w:tc>
        <w:tc>
          <w:tcPr>
            <w:tcW w:w="1836" w:type="dxa"/>
          </w:tcPr>
          <w:p w:rsidR="008A703B" w:rsidRDefault="00AA7C0D" w:rsidP="00931BE0">
            <w:pPr>
              <w:jc w:val="right"/>
            </w:pPr>
            <w:r>
              <w:t>3 600,04</w:t>
            </w: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Depósitos à Ordem</w:t>
            </w:r>
          </w:p>
        </w:tc>
        <w:tc>
          <w:tcPr>
            <w:tcW w:w="1836" w:type="dxa"/>
          </w:tcPr>
          <w:p w:rsidR="008A703B" w:rsidRDefault="00AA7C0D" w:rsidP="00931BE0">
            <w:pPr>
              <w:jc w:val="right"/>
            </w:pPr>
            <w:r>
              <w:t>3 709,88</w:t>
            </w:r>
          </w:p>
        </w:tc>
      </w:tr>
      <w:tr w:rsidR="008A703B" w:rsidTr="008A703B">
        <w:tc>
          <w:tcPr>
            <w:tcW w:w="6658" w:type="dxa"/>
          </w:tcPr>
          <w:p w:rsidR="008A703B" w:rsidRDefault="008A703B" w:rsidP="008A703B">
            <w:pPr>
              <w:jc w:val="both"/>
            </w:pPr>
            <w:r>
              <w:t>Outros Depósitos Bancários</w:t>
            </w:r>
          </w:p>
        </w:tc>
        <w:tc>
          <w:tcPr>
            <w:tcW w:w="1836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8A703B">
        <w:tc>
          <w:tcPr>
            <w:tcW w:w="6658" w:type="dxa"/>
          </w:tcPr>
          <w:p w:rsidR="008A703B" w:rsidRPr="008A703B" w:rsidRDefault="008A703B" w:rsidP="008A7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36" w:type="dxa"/>
          </w:tcPr>
          <w:p w:rsidR="008A703B" w:rsidRPr="00931BE0" w:rsidRDefault="00AA7C0D" w:rsidP="00931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7 309</w:t>
            </w:r>
            <w:r w:rsidR="009110FF">
              <w:rPr>
                <w:b/>
                <w:bCs/>
              </w:rPr>
              <w:t>,92</w:t>
            </w:r>
          </w:p>
        </w:tc>
      </w:tr>
    </w:tbl>
    <w:p w:rsidR="00375623" w:rsidRDefault="00375623" w:rsidP="008A703B">
      <w:pPr>
        <w:jc w:val="both"/>
        <w:rPr>
          <w:b/>
          <w:bCs/>
        </w:rPr>
      </w:pPr>
    </w:p>
    <w:p w:rsidR="008A703B" w:rsidRPr="008A703B" w:rsidRDefault="008A703B" w:rsidP="00C20743">
      <w:pPr>
        <w:pStyle w:val="Ttulo2"/>
      </w:pPr>
      <w:bookmarkStart w:id="30" w:name="_Toc78212542"/>
      <w:r w:rsidRPr="008A703B">
        <w:t>12.5 Fundos Patrimoniais</w:t>
      </w:r>
      <w:bookmarkEnd w:id="30"/>
    </w:p>
    <w:p w:rsidR="008A703B" w:rsidRDefault="008A703B" w:rsidP="008A703B">
      <w:pPr>
        <w:jc w:val="both"/>
      </w:pPr>
      <w:r>
        <w:t>Nos “Fundos Patrimoniais” ocorreram as seguintes variações:</w:t>
      </w:r>
    </w:p>
    <w:tbl>
      <w:tblPr>
        <w:tblStyle w:val="Tabelacomgrelha"/>
        <w:tblW w:w="0" w:type="auto"/>
        <w:tblLook w:val="04A0"/>
      </w:tblPr>
      <w:tblGrid>
        <w:gridCol w:w="2405"/>
        <w:gridCol w:w="1651"/>
        <w:gridCol w:w="1415"/>
        <w:gridCol w:w="1488"/>
        <w:gridCol w:w="1535"/>
      </w:tblGrid>
      <w:tr w:rsidR="008A703B" w:rsidTr="00762AEC">
        <w:tc>
          <w:tcPr>
            <w:tcW w:w="2405" w:type="dxa"/>
          </w:tcPr>
          <w:p w:rsidR="008A703B" w:rsidRPr="008A703B" w:rsidRDefault="00762AEC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651" w:type="dxa"/>
          </w:tcPr>
          <w:p w:rsidR="008A703B" w:rsidRPr="008A703B" w:rsidRDefault="00762AEC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SALDO INICIAL</w:t>
            </w:r>
          </w:p>
        </w:tc>
        <w:tc>
          <w:tcPr>
            <w:tcW w:w="1415" w:type="dxa"/>
          </w:tcPr>
          <w:p w:rsidR="008A703B" w:rsidRPr="008A703B" w:rsidRDefault="00762AEC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AUMENTOS</w:t>
            </w:r>
          </w:p>
        </w:tc>
        <w:tc>
          <w:tcPr>
            <w:tcW w:w="1488" w:type="dxa"/>
          </w:tcPr>
          <w:p w:rsidR="008A703B" w:rsidRPr="008A703B" w:rsidRDefault="00762AEC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DIMINUIÇÕES</w:t>
            </w:r>
          </w:p>
        </w:tc>
        <w:tc>
          <w:tcPr>
            <w:tcW w:w="1535" w:type="dxa"/>
          </w:tcPr>
          <w:p w:rsidR="008A703B" w:rsidRPr="008A703B" w:rsidRDefault="00762AEC" w:rsidP="008A7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SALDO FINAL</w:t>
            </w:r>
          </w:p>
        </w:tc>
      </w:tr>
      <w:tr w:rsidR="008A703B" w:rsidTr="00762AEC">
        <w:tc>
          <w:tcPr>
            <w:tcW w:w="2405" w:type="dxa"/>
          </w:tcPr>
          <w:p w:rsidR="008A703B" w:rsidRDefault="00762AEC" w:rsidP="008A703B">
            <w:pPr>
              <w:jc w:val="both"/>
            </w:pPr>
            <w:r>
              <w:t>Fundos</w:t>
            </w:r>
          </w:p>
        </w:tc>
        <w:tc>
          <w:tcPr>
            <w:tcW w:w="1651" w:type="dxa"/>
          </w:tcPr>
          <w:p w:rsidR="008A703B" w:rsidRDefault="008A703B" w:rsidP="00931BE0">
            <w:pPr>
              <w:jc w:val="right"/>
            </w:pPr>
          </w:p>
        </w:tc>
        <w:tc>
          <w:tcPr>
            <w:tcW w:w="1415" w:type="dxa"/>
          </w:tcPr>
          <w:p w:rsidR="008A703B" w:rsidRDefault="008A703B" w:rsidP="00931BE0">
            <w:pPr>
              <w:jc w:val="right"/>
            </w:pPr>
          </w:p>
        </w:tc>
        <w:tc>
          <w:tcPr>
            <w:tcW w:w="1488" w:type="dxa"/>
          </w:tcPr>
          <w:p w:rsidR="008A703B" w:rsidRDefault="008A703B" w:rsidP="00931BE0">
            <w:pPr>
              <w:jc w:val="right"/>
            </w:pPr>
          </w:p>
        </w:tc>
        <w:tc>
          <w:tcPr>
            <w:tcW w:w="1535" w:type="dxa"/>
          </w:tcPr>
          <w:p w:rsidR="008A703B" w:rsidRDefault="008A703B" w:rsidP="00931BE0">
            <w:pPr>
              <w:jc w:val="right"/>
            </w:pPr>
          </w:p>
        </w:tc>
      </w:tr>
      <w:tr w:rsidR="008A703B" w:rsidTr="00762AEC">
        <w:tc>
          <w:tcPr>
            <w:tcW w:w="2405" w:type="dxa"/>
          </w:tcPr>
          <w:p w:rsidR="008A703B" w:rsidRDefault="004F0167" w:rsidP="008A703B">
            <w:pPr>
              <w:jc w:val="both"/>
            </w:pPr>
            <w:r>
              <w:t>Reservas</w:t>
            </w:r>
          </w:p>
        </w:tc>
        <w:tc>
          <w:tcPr>
            <w:tcW w:w="1651" w:type="dxa"/>
          </w:tcPr>
          <w:p w:rsidR="008A703B" w:rsidRDefault="004F0167" w:rsidP="00931BE0">
            <w:pPr>
              <w:jc w:val="right"/>
            </w:pPr>
            <w:r>
              <w:t>11 431,90</w:t>
            </w:r>
          </w:p>
        </w:tc>
        <w:tc>
          <w:tcPr>
            <w:tcW w:w="1415" w:type="dxa"/>
          </w:tcPr>
          <w:p w:rsidR="008A703B" w:rsidRDefault="008A703B" w:rsidP="00931BE0">
            <w:pPr>
              <w:jc w:val="right"/>
            </w:pPr>
          </w:p>
        </w:tc>
        <w:tc>
          <w:tcPr>
            <w:tcW w:w="1488" w:type="dxa"/>
          </w:tcPr>
          <w:p w:rsidR="008A703B" w:rsidRDefault="008A703B" w:rsidP="00931BE0">
            <w:pPr>
              <w:jc w:val="right"/>
            </w:pPr>
          </w:p>
        </w:tc>
        <w:tc>
          <w:tcPr>
            <w:tcW w:w="1535" w:type="dxa"/>
          </w:tcPr>
          <w:p w:rsidR="008A703B" w:rsidRDefault="004F0167" w:rsidP="00931BE0">
            <w:pPr>
              <w:jc w:val="right"/>
            </w:pPr>
            <w:r>
              <w:t>11 431,90</w:t>
            </w:r>
          </w:p>
        </w:tc>
      </w:tr>
      <w:tr w:rsidR="008A703B" w:rsidTr="00762AEC">
        <w:tc>
          <w:tcPr>
            <w:tcW w:w="2405" w:type="dxa"/>
          </w:tcPr>
          <w:p w:rsidR="008A703B" w:rsidRDefault="004F0167" w:rsidP="008A703B">
            <w:pPr>
              <w:jc w:val="both"/>
            </w:pPr>
            <w:r>
              <w:t>Resultados Transitados</w:t>
            </w:r>
          </w:p>
        </w:tc>
        <w:tc>
          <w:tcPr>
            <w:tcW w:w="1651" w:type="dxa"/>
          </w:tcPr>
          <w:p w:rsidR="008A703B" w:rsidRDefault="00AA7C0D" w:rsidP="00931BE0">
            <w:pPr>
              <w:jc w:val="right"/>
            </w:pPr>
            <w:r>
              <w:t>9 506,20</w:t>
            </w:r>
          </w:p>
        </w:tc>
        <w:tc>
          <w:tcPr>
            <w:tcW w:w="1415" w:type="dxa"/>
          </w:tcPr>
          <w:p w:rsidR="008A703B" w:rsidRDefault="00AA7C0D" w:rsidP="00931BE0">
            <w:pPr>
              <w:jc w:val="right"/>
            </w:pPr>
            <w:r>
              <w:t>13 717,70</w:t>
            </w:r>
          </w:p>
        </w:tc>
        <w:tc>
          <w:tcPr>
            <w:tcW w:w="1488" w:type="dxa"/>
          </w:tcPr>
          <w:p w:rsidR="008A703B" w:rsidRDefault="008A703B" w:rsidP="00931BE0">
            <w:pPr>
              <w:jc w:val="right"/>
            </w:pPr>
          </w:p>
        </w:tc>
        <w:tc>
          <w:tcPr>
            <w:tcW w:w="1535" w:type="dxa"/>
          </w:tcPr>
          <w:p w:rsidR="008A703B" w:rsidRDefault="00AA7C0D" w:rsidP="00931BE0">
            <w:pPr>
              <w:jc w:val="right"/>
            </w:pPr>
            <w:r>
              <w:t>23 223,90</w:t>
            </w:r>
          </w:p>
        </w:tc>
      </w:tr>
      <w:tr w:rsidR="008A703B" w:rsidTr="00762AEC">
        <w:tc>
          <w:tcPr>
            <w:tcW w:w="2405" w:type="dxa"/>
          </w:tcPr>
          <w:p w:rsidR="008A703B" w:rsidRPr="00762AEC" w:rsidRDefault="00762AEC" w:rsidP="008A7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51" w:type="dxa"/>
          </w:tcPr>
          <w:p w:rsidR="008A703B" w:rsidRDefault="00AA7C0D" w:rsidP="00931BE0">
            <w:pPr>
              <w:jc w:val="right"/>
            </w:pPr>
            <w:r>
              <w:t>1 925,70</w:t>
            </w:r>
          </w:p>
        </w:tc>
        <w:tc>
          <w:tcPr>
            <w:tcW w:w="1415" w:type="dxa"/>
          </w:tcPr>
          <w:p w:rsidR="008A703B" w:rsidRDefault="00AA7C0D" w:rsidP="004F0167">
            <w:pPr>
              <w:jc w:val="right"/>
            </w:pPr>
            <w:r>
              <w:t>13 717,70</w:t>
            </w:r>
          </w:p>
        </w:tc>
        <w:tc>
          <w:tcPr>
            <w:tcW w:w="1488" w:type="dxa"/>
          </w:tcPr>
          <w:p w:rsidR="008A703B" w:rsidRDefault="008A703B" w:rsidP="00931BE0">
            <w:pPr>
              <w:jc w:val="right"/>
            </w:pPr>
          </w:p>
        </w:tc>
        <w:tc>
          <w:tcPr>
            <w:tcW w:w="1535" w:type="dxa"/>
          </w:tcPr>
          <w:p w:rsidR="008A703B" w:rsidRDefault="009844B7" w:rsidP="00931BE0">
            <w:pPr>
              <w:jc w:val="right"/>
            </w:pPr>
            <w:r>
              <w:t>34 655,80</w:t>
            </w:r>
          </w:p>
        </w:tc>
      </w:tr>
    </w:tbl>
    <w:p w:rsidR="008A703B" w:rsidRDefault="008A703B" w:rsidP="008A703B">
      <w:pPr>
        <w:jc w:val="both"/>
      </w:pPr>
    </w:p>
    <w:p w:rsidR="00762AEC" w:rsidRPr="00762AEC" w:rsidRDefault="00762AEC" w:rsidP="00C20743">
      <w:pPr>
        <w:pStyle w:val="Ttulo2"/>
      </w:pPr>
      <w:bookmarkStart w:id="31" w:name="_Toc78212543"/>
      <w:r w:rsidRPr="00762AEC">
        <w:t>12.6 Fornecedores</w:t>
      </w:r>
      <w:bookmarkEnd w:id="31"/>
    </w:p>
    <w:p w:rsidR="00762AEC" w:rsidRDefault="00762AEC" w:rsidP="00762AEC">
      <w:pPr>
        <w:jc w:val="both"/>
      </w:pPr>
      <w:r>
        <w:t>O saldo da rubrica de “Fornecedores” é discriminado da seguinte forma:</w:t>
      </w:r>
    </w:p>
    <w:tbl>
      <w:tblPr>
        <w:tblStyle w:val="Tabelacomgrelha"/>
        <w:tblW w:w="0" w:type="auto"/>
        <w:tblLook w:val="04A0"/>
      </w:tblPr>
      <w:tblGrid>
        <w:gridCol w:w="6374"/>
        <w:gridCol w:w="2120"/>
      </w:tblGrid>
      <w:tr w:rsidR="00762AEC" w:rsidTr="00762AEC">
        <w:tc>
          <w:tcPr>
            <w:tcW w:w="6374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120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E12F1B">
              <w:rPr>
                <w:b/>
                <w:bCs/>
              </w:rPr>
              <w:t>2</w:t>
            </w:r>
          </w:p>
        </w:tc>
      </w:tr>
      <w:tr w:rsidR="00762AEC" w:rsidTr="00762AEC">
        <w:tc>
          <w:tcPr>
            <w:tcW w:w="6374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Fornecedores C/C</w:t>
            </w:r>
          </w:p>
        </w:tc>
        <w:tc>
          <w:tcPr>
            <w:tcW w:w="2120" w:type="dxa"/>
          </w:tcPr>
          <w:p w:rsidR="00762AEC" w:rsidRDefault="00762AEC" w:rsidP="00762AEC">
            <w:pPr>
              <w:jc w:val="both"/>
            </w:pPr>
          </w:p>
        </w:tc>
      </w:tr>
      <w:tr w:rsidR="00762AEC" w:rsidTr="00762AEC">
        <w:tc>
          <w:tcPr>
            <w:tcW w:w="6374" w:type="dxa"/>
          </w:tcPr>
          <w:p w:rsidR="00762AEC" w:rsidRDefault="00762AEC" w:rsidP="00762AEC">
            <w:pPr>
              <w:jc w:val="both"/>
            </w:pPr>
            <w:r>
              <w:t>Fornecedores</w:t>
            </w:r>
          </w:p>
        </w:tc>
        <w:tc>
          <w:tcPr>
            <w:tcW w:w="2120" w:type="dxa"/>
          </w:tcPr>
          <w:p w:rsidR="00762AEC" w:rsidRDefault="00E12F1B" w:rsidP="000A522F">
            <w:pPr>
              <w:jc w:val="right"/>
            </w:pPr>
            <w:r>
              <w:t>15 902,65</w:t>
            </w:r>
          </w:p>
        </w:tc>
      </w:tr>
      <w:tr w:rsidR="00762AEC" w:rsidTr="00762AEC">
        <w:tc>
          <w:tcPr>
            <w:tcW w:w="6374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20" w:type="dxa"/>
          </w:tcPr>
          <w:p w:rsidR="00762AEC" w:rsidRPr="000A522F" w:rsidRDefault="00521F72" w:rsidP="000A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12F1B">
              <w:rPr>
                <w:b/>
                <w:bCs/>
              </w:rPr>
              <w:t>5 902,65</w:t>
            </w:r>
          </w:p>
        </w:tc>
      </w:tr>
    </w:tbl>
    <w:p w:rsidR="00375623" w:rsidRDefault="00375623" w:rsidP="00762AEC">
      <w:pPr>
        <w:jc w:val="both"/>
        <w:rPr>
          <w:b/>
          <w:bCs/>
        </w:rPr>
      </w:pPr>
    </w:p>
    <w:p w:rsidR="00762AEC" w:rsidRPr="00762AEC" w:rsidRDefault="00762AEC" w:rsidP="00C20743">
      <w:pPr>
        <w:pStyle w:val="Ttulo2"/>
      </w:pPr>
      <w:bookmarkStart w:id="32" w:name="_Toc78212544"/>
      <w:r w:rsidRPr="00762AEC">
        <w:t>12.7 Estado e Outros Entes Públicos</w:t>
      </w:r>
      <w:bookmarkEnd w:id="32"/>
    </w:p>
    <w:p w:rsidR="00762AEC" w:rsidRDefault="00762AEC" w:rsidP="00762AEC">
      <w:pPr>
        <w:jc w:val="both"/>
      </w:pPr>
      <w:r>
        <w:t>A rubrica de “Estado e outros Entes Públicos” está dividida da seguinte forma:</w:t>
      </w:r>
    </w:p>
    <w:tbl>
      <w:tblPr>
        <w:tblStyle w:val="Tabelacomgrelha"/>
        <w:tblW w:w="0" w:type="auto"/>
        <w:tblLook w:val="04A0"/>
      </w:tblPr>
      <w:tblGrid>
        <w:gridCol w:w="6516"/>
        <w:gridCol w:w="1978"/>
      </w:tblGrid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978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E12F1B">
              <w:rPr>
                <w:b/>
                <w:bCs/>
              </w:rPr>
              <w:t>2</w:t>
            </w:r>
          </w:p>
        </w:tc>
      </w:tr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Ativo</w:t>
            </w:r>
          </w:p>
        </w:tc>
        <w:tc>
          <w:tcPr>
            <w:tcW w:w="1978" w:type="dxa"/>
          </w:tcPr>
          <w:p w:rsidR="00762AEC" w:rsidRDefault="00762AEC" w:rsidP="000A522F">
            <w:pPr>
              <w:jc w:val="right"/>
            </w:pPr>
          </w:p>
        </w:tc>
      </w:tr>
      <w:tr w:rsidR="00762AEC" w:rsidTr="00762AEC">
        <w:tc>
          <w:tcPr>
            <w:tcW w:w="6516" w:type="dxa"/>
          </w:tcPr>
          <w:p w:rsidR="00762AEC" w:rsidRDefault="00762AEC" w:rsidP="00762AEC">
            <w:pPr>
              <w:jc w:val="both"/>
            </w:pPr>
            <w:r>
              <w:t>IVA a Recuperar</w:t>
            </w:r>
          </w:p>
        </w:tc>
        <w:tc>
          <w:tcPr>
            <w:tcW w:w="1978" w:type="dxa"/>
          </w:tcPr>
          <w:p w:rsidR="00762AEC" w:rsidRDefault="00521F72" w:rsidP="000A522F">
            <w:pPr>
              <w:jc w:val="right"/>
            </w:pPr>
            <w:r>
              <w:t>1</w:t>
            </w:r>
            <w:r w:rsidR="008C081E">
              <w:t> </w:t>
            </w:r>
            <w:r w:rsidR="00E12F1B">
              <w:t>074</w:t>
            </w:r>
            <w:r w:rsidR="008C081E">
              <w:t>,</w:t>
            </w:r>
            <w:r w:rsidR="00E12F1B">
              <w:t>12</w:t>
            </w:r>
          </w:p>
        </w:tc>
      </w:tr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78" w:type="dxa"/>
          </w:tcPr>
          <w:p w:rsidR="00762AEC" w:rsidRPr="000A522F" w:rsidRDefault="00521F72" w:rsidP="000A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081E">
              <w:rPr>
                <w:b/>
                <w:bCs/>
              </w:rPr>
              <w:t> </w:t>
            </w:r>
            <w:r w:rsidR="00E12F1B">
              <w:rPr>
                <w:b/>
                <w:bCs/>
              </w:rPr>
              <w:t>07</w:t>
            </w:r>
            <w:r w:rsidR="008C081E">
              <w:rPr>
                <w:b/>
                <w:bCs/>
              </w:rPr>
              <w:t>4,</w:t>
            </w:r>
            <w:r w:rsidR="00E12F1B">
              <w:rPr>
                <w:b/>
                <w:bCs/>
              </w:rPr>
              <w:t>12</w:t>
            </w:r>
          </w:p>
        </w:tc>
      </w:tr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Passivo</w:t>
            </w:r>
          </w:p>
        </w:tc>
        <w:tc>
          <w:tcPr>
            <w:tcW w:w="1978" w:type="dxa"/>
          </w:tcPr>
          <w:p w:rsidR="00762AEC" w:rsidRDefault="00762AEC" w:rsidP="000A522F">
            <w:pPr>
              <w:jc w:val="right"/>
            </w:pPr>
          </w:p>
        </w:tc>
      </w:tr>
      <w:tr w:rsidR="00762AEC" w:rsidTr="00762AEC">
        <w:tc>
          <w:tcPr>
            <w:tcW w:w="6516" w:type="dxa"/>
          </w:tcPr>
          <w:p w:rsidR="00762AEC" w:rsidRDefault="00762AEC" w:rsidP="00762AEC">
            <w:pPr>
              <w:jc w:val="both"/>
            </w:pPr>
            <w:r>
              <w:t>IRS (Retenções)</w:t>
            </w:r>
          </w:p>
        </w:tc>
        <w:tc>
          <w:tcPr>
            <w:tcW w:w="1978" w:type="dxa"/>
          </w:tcPr>
          <w:p w:rsidR="00762AEC" w:rsidRDefault="00E12F1B" w:rsidP="000A522F">
            <w:pPr>
              <w:jc w:val="right"/>
            </w:pPr>
            <w:r>
              <w:t>570</w:t>
            </w:r>
            <w:r w:rsidR="008C081E">
              <w:t>,</w:t>
            </w:r>
            <w:r>
              <w:t>8</w:t>
            </w:r>
            <w:r w:rsidR="008C081E">
              <w:t>0</w:t>
            </w:r>
          </w:p>
        </w:tc>
      </w:tr>
      <w:tr w:rsidR="00762AEC" w:rsidTr="00762AEC">
        <w:tc>
          <w:tcPr>
            <w:tcW w:w="6516" w:type="dxa"/>
          </w:tcPr>
          <w:p w:rsidR="00762AEC" w:rsidRDefault="00762AEC" w:rsidP="00762AEC">
            <w:pPr>
              <w:jc w:val="both"/>
            </w:pPr>
            <w:r>
              <w:t>Segurança Social</w:t>
            </w:r>
          </w:p>
        </w:tc>
        <w:tc>
          <w:tcPr>
            <w:tcW w:w="1978" w:type="dxa"/>
          </w:tcPr>
          <w:p w:rsidR="00762AEC" w:rsidRDefault="008C081E" w:rsidP="000A522F">
            <w:pPr>
              <w:jc w:val="right"/>
            </w:pPr>
            <w:r>
              <w:t>1</w:t>
            </w:r>
            <w:r w:rsidR="00E12F1B">
              <w:t> 245,91</w:t>
            </w:r>
          </w:p>
        </w:tc>
      </w:tr>
      <w:tr w:rsidR="00762AEC" w:rsidTr="00762AEC">
        <w:tc>
          <w:tcPr>
            <w:tcW w:w="6516" w:type="dxa"/>
          </w:tcPr>
          <w:p w:rsidR="00762AEC" w:rsidRDefault="00762AEC" w:rsidP="00762AEC">
            <w:pPr>
              <w:jc w:val="both"/>
            </w:pPr>
            <w:r>
              <w:t>Outras Tributações (Fundos)</w:t>
            </w:r>
          </w:p>
        </w:tc>
        <w:tc>
          <w:tcPr>
            <w:tcW w:w="1978" w:type="dxa"/>
          </w:tcPr>
          <w:p w:rsidR="00762AEC" w:rsidRDefault="00762AEC" w:rsidP="000A522F">
            <w:pPr>
              <w:jc w:val="right"/>
            </w:pPr>
          </w:p>
        </w:tc>
      </w:tr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78" w:type="dxa"/>
          </w:tcPr>
          <w:p w:rsidR="00762AEC" w:rsidRPr="000A522F" w:rsidRDefault="000A522F" w:rsidP="000A522F">
            <w:pPr>
              <w:jc w:val="right"/>
              <w:rPr>
                <w:b/>
                <w:bCs/>
              </w:rPr>
            </w:pPr>
            <w:r w:rsidRPr="000A522F">
              <w:rPr>
                <w:b/>
                <w:bCs/>
              </w:rPr>
              <w:t>1</w:t>
            </w:r>
            <w:r w:rsidR="00E12F1B">
              <w:rPr>
                <w:b/>
                <w:bCs/>
              </w:rPr>
              <w:t> 816,71</w:t>
            </w:r>
          </w:p>
        </w:tc>
      </w:tr>
    </w:tbl>
    <w:p w:rsidR="00375623" w:rsidRDefault="00375623" w:rsidP="00762AEC">
      <w:pPr>
        <w:jc w:val="both"/>
        <w:rPr>
          <w:b/>
          <w:bCs/>
        </w:rPr>
      </w:pPr>
    </w:p>
    <w:p w:rsidR="00375623" w:rsidRDefault="00375623" w:rsidP="00762AEC">
      <w:pPr>
        <w:jc w:val="both"/>
        <w:rPr>
          <w:b/>
          <w:bCs/>
        </w:rPr>
      </w:pPr>
    </w:p>
    <w:p w:rsidR="00375623" w:rsidRDefault="00375623" w:rsidP="00762AEC">
      <w:pPr>
        <w:jc w:val="both"/>
        <w:rPr>
          <w:b/>
          <w:bCs/>
        </w:rPr>
      </w:pPr>
    </w:p>
    <w:p w:rsidR="00762AEC" w:rsidRPr="00762AEC" w:rsidRDefault="00762AEC" w:rsidP="00C20743">
      <w:pPr>
        <w:pStyle w:val="Ttulo2"/>
      </w:pPr>
      <w:bookmarkStart w:id="33" w:name="_Toc78212545"/>
      <w:r w:rsidRPr="00762AEC">
        <w:t>12.8 Outros passivos correntes</w:t>
      </w:r>
      <w:bookmarkEnd w:id="33"/>
    </w:p>
    <w:p w:rsidR="00762AEC" w:rsidRDefault="00762AEC" w:rsidP="00762AEC">
      <w:pPr>
        <w:jc w:val="both"/>
      </w:pPr>
      <w:r>
        <w:t>A rubrica “Outros passivos correntes” desdobra-se da seguinte forma:</w:t>
      </w:r>
    </w:p>
    <w:tbl>
      <w:tblPr>
        <w:tblStyle w:val="Tabelacomgrelha"/>
        <w:tblW w:w="0" w:type="auto"/>
        <w:tblLook w:val="04A0"/>
      </w:tblPr>
      <w:tblGrid>
        <w:gridCol w:w="6516"/>
        <w:gridCol w:w="1978"/>
      </w:tblGrid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978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E12F1B">
              <w:rPr>
                <w:b/>
                <w:bCs/>
              </w:rPr>
              <w:t>2</w:t>
            </w:r>
          </w:p>
        </w:tc>
      </w:tr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Credores por Acréscimo de Gastos</w:t>
            </w:r>
          </w:p>
        </w:tc>
        <w:tc>
          <w:tcPr>
            <w:tcW w:w="1978" w:type="dxa"/>
          </w:tcPr>
          <w:p w:rsidR="00762AEC" w:rsidRDefault="00762AEC" w:rsidP="00762AEC">
            <w:pPr>
              <w:jc w:val="both"/>
            </w:pPr>
          </w:p>
        </w:tc>
      </w:tr>
      <w:tr w:rsidR="00762AEC" w:rsidTr="00762AEC">
        <w:tc>
          <w:tcPr>
            <w:tcW w:w="6516" w:type="dxa"/>
          </w:tcPr>
          <w:p w:rsidR="00762AEC" w:rsidRDefault="00762AEC" w:rsidP="00762AEC">
            <w:pPr>
              <w:jc w:val="both"/>
            </w:pPr>
            <w:r>
              <w:t>Remunerações a Liquidar</w:t>
            </w:r>
          </w:p>
        </w:tc>
        <w:tc>
          <w:tcPr>
            <w:tcW w:w="1978" w:type="dxa"/>
          </w:tcPr>
          <w:p w:rsidR="00762AEC" w:rsidRPr="001F2D1B" w:rsidRDefault="000A522F" w:rsidP="000A522F">
            <w:pPr>
              <w:jc w:val="right"/>
            </w:pPr>
            <w:r w:rsidRPr="001F2D1B">
              <w:t>1</w:t>
            </w:r>
            <w:r w:rsidR="00043EED">
              <w:t>3 408,09</w:t>
            </w:r>
          </w:p>
        </w:tc>
      </w:tr>
      <w:tr w:rsidR="00762AEC" w:rsidTr="00762AEC">
        <w:tc>
          <w:tcPr>
            <w:tcW w:w="6516" w:type="dxa"/>
          </w:tcPr>
          <w:p w:rsidR="00762AEC" w:rsidRDefault="00762AEC" w:rsidP="00762AEC">
            <w:pPr>
              <w:jc w:val="both"/>
            </w:pPr>
            <w:r>
              <w:t>Outros</w:t>
            </w:r>
          </w:p>
        </w:tc>
        <w:tc>
          <w:tcPr>
            <w:tcW w:w="1978" w:type="dxa"/>
          </w:tcPr>
          <w:p w:rsidR="00762AEC" w:rsidRPr="001F2D1B" w:rsidRDefault="00110DFD" w:rsidP="00110DFD">
            <w:pPr>
              <w:jc w:val="right"/>
            </w:pPr>
            <w:r>
              <w:t>860,02</w:t>
            </w:r>
          </w:p>
        </w:tc>
      </w:tr>
      <w:tr w:rsidR="00762AEC" w:rsidTr="00762AEC">
        <w:tc>
          <w:tcPr>
            <w:tcW w:w="6516" w:type="dxa"/>
          </w:tcPr>
          <w:p w:rsidR="00762AEC" w:rsidRPr="00521F72" w:rsidRDefault="00521F72" w:rsidP="00762AEC">
            <w:pPr>
              <w:jc w:val="both"/>
              <w:rPr>
                <w:b/>
                <w:bCs/>
              </w:rPr>
            </w:pPr>
            <w:r w:rsidRPr="00521F72">
              <w:rPr>
                <w:b/>
                <w:bCs/>
              </w:rPr>
              <w:t>Outros Credores</w:t>
            </w:r>
          </w:p>
        </w:tc>
        <w:tc>
          <w:tcPr>
            <w:tcW w:w="1978" w:type="dxa"/>
          </w:tcPr>
          <w:p w:rsidR="00762AEC" w:rsidRPr="00517993" w:rsidRDefault="00043EED" w:rsidP="000A522F">
            <w:pPr>
              <w:jc w:val="right"/>
              <w:rPr>
                <w:color w:val="FF0000"/>
              </w:rPr>
            </w:pPr>
            <w:r w:rsidRPr="00EE25DD">
              <w:t>5</w:t>
            </w:r>
            <w:r w:rsidR="00110DFD" w:rsidRPr="00EE25DD">
              <w:t> </w:t>
            </w:r>
            <w:r w:rsidR="00DF75BE" w:rsidRPr="00EE25DD">
              <w:t>729</w:t>
            </w:r>
            <w:r w:rsidR="00110DFD" w:rsidRPr="00EE25DD">
              <w:t>,</w:t>
            </w:r>
            <w:r w:rsidR="00DF75BE" w:rsidRPr="00EE25DD">
              <w:t>12</w:t>
            </w:r>
          </w:p>
        </w:tc>
      </w:tr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78" w:type="dxa"/>
          </w:tcPr>
          <w:p w:rsidR="00762AEC" w:rsidRPr="008761BA" w:rsidRDefault="00110DFD" w:rsidP="000A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19 937,15</w:t>
            </w:r>
          </w:p>
        </w:tc>
      </w:tr>
    </w:tbl>
    <w:p w:rsidR="002E0A4E" w:rsidRDefault="002E0A4E" w:rsidP="00762AEC">
      <w:pPr>
        <w:jc w:val="both"/>
        <w:rPr>
          <w:b/>
          <w:bCs/>
        </w:rPr>
      </w:pPr>
    </w:p>
    <w:p w:rsidR="003324FB" w:rsidRDefault="003324FB" w:rsidP="00762AEC">
      <w:pPr>
        <w:jc w:val="both"/>
        <w:rPr>
          <w:b/>
          <w:bCs/>
        </w:rPr>
      </w:pPr>
    </w:p>
    <w:p w:rsidR="00762AEC" w:rsidRPr="00762AEC" w:rsidRDefault="00762AEC" w:rsidP="00C20743">
      <w:pPr>
        <w:pStyle w:val="Ttulo2"/>
      </w:pPr>
      <w:bookmarkStart w:id="34" w:name="_Toc78212546"/>
      <w:r w:rsidRPr="00762AEC">
        <w:t>12.9 Subsídios, doações e legados à exploração</w:t>
      </w:r>
      <w:bookmarkEnd w:id="34"/>
    </w:p>
    <w:p w:rsidR="00762AEC" w:rsidRDefault="00762AEC" w:rsidP="00762AEC">
      <w:pPr>
        <w:jc w:val="both"/>
      </w:pPr>
      <w:r>
        <w:t xml:space="preserve">A Entidade reconheceu, nos períodos de </w:t>
      </w:r>
      <w:r w:rsidR="004C003B">
        <w:t>202</w:t>
      </w:r>
      <w:r w:rsidR="00E3265E">
        <w:t>2</w:t>
      </w:r>
      <w:r>
        <w:t>, os seguintes subsídios, doações, heranças e legados:</w:t>
      </w:r>
    </w:p>
    <w:tbl>
      <w:tblPr>
        <w:tblStyle w:val="Tabelacomgrelha"/>
        <w:tblW w:w="0" w:type="auto"/>
        <w:tblLook w:val="04A0"/>
      </w:tblPr>
      <w:tblGrid>
        <w:gridCol w:w="6516"/>
        <w:gridCol w:w="1978"/>
      </w:tblGrid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978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E3265E">
              <w:rPr>
                <w:b/>
                <w:bCs/>
              </w:rPr>
              <w:t>2</w:t>
            </w:r>
          </w:p>
        </w:tc>
      </w:tr>
      <w:tr w:rsidR="00762AEC" w:rsidTr="00762AEC">
        <w:tc>
          <w:tcPr>
            <w:tcW w:w="6516" w:type="dxa"/>
          </w:tcPr>
          <w:p w:rsidR="00762AEC" w:rsidRDefault="00762AEC" w:rsidP="00762AEC">
            <w:pPr>
              <w:jc w:val="both"/>
            </w:pPr>
            <w:r>
              <w:t>Subsídios do Estado e Outros Entes Públicos</w:t>
            </w:r>
          </w:p>
        </w:tc>
        <w:tc>
          <w:tcPr>
            <w:tcW w:w="1978" w:type="dxa"/>
          </w:tcPr>
          <w:p w:rsidR="00762AEC" w:rsidRDefault="00DE24A2" w:rsidP="00FC569A">
            <w:pPr>
              <w:jc w:val="right"/>
            </w:pPr>
            <w:r>
              <w:t>1</w:t>
            </w:r>
            <w:r w:rsidR="007F57AA">
              <w:t>41</w:t>
            </w:r>
            <w:r w:rsidR="003A3C87">
              <w:t> 050,95</w:t>
            </w:r>
          </w:p>
        </w:tc>
      </w:tr>
      <w:tr w:rsidR="00762AEC" w:rsidTr="00762AEC">
        <w:tc>
          <w:tcPr>
            <w:tcW w:w="6516" w:type="dxa"/>
          </w:tcPr>
          <w:p w:rsidR="00762AEC" w:rsidRDefault="00762AEC" w:rsidP="00762AEC">
            <w:pPr>
              <w:jc w:val="both"/>
            </w:pPr>
            <w:r>
              <w:t>Do</w:t>
            </w:r>
            <w:r w:rsidR="007F57AA">
              <w:t>ações</w:t>
            </w:r>
            <w:r w:rsidR="00052AE8">
              <w:t xml:space="preserve"> e heranças</w:t>
            </w:r>
          </w:p>
        </w:tc>
        <w:tc>
          <w:tcPr>
            <w:tcW w:w="1978" w:type="dxa"/>
          </w:tcPr>
          <w:p w:rsidR="00762AEC" w:rsidRDefault="002675E8" w:rsidP="00FC569A">
            <w:pPr>
              <w:jc w:val="right"/>
            </w:pPr>
            <w:r>
              <w:t>583,69</w:t>
            </w:r>
          </w:p>
        </w:tc>
      </w:tr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78" w:type="dxa"/>
          </w:tcPr>
          <w:p w:rsidR="00762AEC" w:rsidRPr="00FC569A" w:rsidRDefault="003A3C87" w:rsidP="00FC56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141 634,64</w:t>
            </w:r>
          </w:p>
        </w:tc>
      </w:tr>
    </w:tbl>
    <w:p w:rsidR="00762AEC" w:rsidRDefault="00762AEC" w:rsidP="00762AEC">
      <w:pPr>
        <w:jc w:val="both"/>
      </w:pPr>
    </w:p>
    <w:p w:rsidR="00762AEC" w:rsidRDefault="00762AEC" w:rsidP="00762AEC">
      <w:pPr>
        <w:jc w:val="both"/>
      </w:pPr>
      <w:r>
        <w:t>Os “Subsídios e Apoios do Governo” estão divulgados de forma mais exaustiva na Nota 9.</w:t>
      </w:r>
    </w:p>
    <w:p w:rsidR="00762AEC" w:rsidRDefault="00762AEC" w:rsidP="00762AEC">
      <w:pPr>
        <w:jc w:val="both"/>
      </w:pPr>
      <w:r>
        <w:t xml:space="preserve">O valor registado na rubrica “doações e heranças” corresponde a </w:t>
      </w:r>
      <w:r w:rsidR="00E3265E">
        <w:t>583,69</w:t>
      </w:r>
      <w:r>
        <w:t xml:space="preserve"> euros</w:t>
      </w:r>
      <w:r w:rsidR="00550C59">
        <w:t xml:space="preserve">, </w:t>
      </w:r>
      <w:r w:rsidR="00710E2A">
        <w:t>doações monetárias.</w:t>
      </w:r>
      <w:r w:rsidR="003324FB">
        <w:t xml:space="preserve"> </w:t>
      </w:r>
    </w:p>
    <w:p w:rsidR="002E0A4E" w:rsidRDefault="002E0A4E" w:rsidP="00762AEC">
      <w:pPr>
        <w:jc w:val="both"/>
        <w:rPr>
          <w:b/>
          <w:bCs/>
        </w:rPr>
      </w:pPr>
    </w:p>
    <w:p w:rsidR="00F132E0" w:rsidRDefault="00F132E0" w:rsidP="00C20743">
      <w:pPr>
        <w:pStyle w:val="Ttulo2"/>
      </w:pPr>
    </w:p>
    <w:p w:rsidR="00762AEC" w:rsidRDefault="00762AEC" w:rsidP="00C20743">
      <w:pPr>
        <w:pStyle w:val="Ttulo2"/>
      </w:pPr>
      <w:bookmarkStart w:id="35" w:name="_Toc78212547"/>
      <w:r w:rsidRPr="00762AEC">
        <w:t>12.10 Fornecimentos e serviços externos</w:t>
      </w:r>
      <w:bookmarkEnd w:id="35"/>
    </w:p>
    <w:p w:rsidR="00EF7472" w:rsidRPr="00EF7472" w:rsidRDefault="00EF7472" w:rsidP="00EF7472"/>
    <w:p w:rsidR="00180C82" w:rsidRDefault="00180C82" w:rsidP="00762AEC">
      <w:pPr>
        <w:jc w:val="both"/>
      </w:pPr>
    </w:p>
    <w:p w:rsidR="00762AEC" w:rsidRDefault="00762AEC" w:rsidP="00762AEC">
      <w:pPr>
        <w:jc w:val="both"/>
      </w:pPr>
      <w:r>
        <w:t xml:space="preserve">A repartição dos “Fornecimentos e serviços externos” nos períodos findos em 31 de Dezembro de </w:t>
      </w:r>
      <w:r w:rsidR="00FA760B">
        <w:t>202</w:t>
      </w:r>
      <w:r w:rsidR="00E3265E">
        <w:t>2</w:t>
      </w:r>
      <w:r>
        <w:t xml:space="preserve"> foi a seguinte:</w:t>
      </w:r>
    </w:p>
    <w:tbl>
      <w:tblPr>
        <w:tblStyle w:val="Tabelacomgrelha"/>
        <w:tblW w:w="0" w:type="auto"/>
        <w:tblLook w:val="04A0"/>
      </w:tblPr>
      <w:tblGrid>
        <w:gridCol w:w="6516"/>
        <w:gridCol w:w="1978"/>
      </w:tblGrid>
      <w:tr w:rsidR="00762AEC" w:rsidTr="00762AEC">
        <w:tc>
          <w:tcPr>
            <w:tcW w:w="6516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978" w:type="dxa"/>
          </w:tcPr>
          <w:p w:rsidR="00762AEC" w:rsidRPr="00762AEC" w:rsidRDefault="00762AEC" w:rsidP="0076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E3265E">
              <w:rPr>
                <w:b/>
                <w:bCs/>
              </w:rPr>
              <w:t>2</w:t>
            </w:r>
          </w:p>
        </w:tc>
      </w:tr>
      <w:tr w:rsidR="00762AEC" w:rsidTr="00762AEC">
        <w:tc>
          <w:tcPr>
            <w:tcW w:w="6516" w:type="dxa"/>
          </w:tcPr>
          <w:p w:rsidR="00762AEC" w:rsidRDefault="007C27A3" w:rsidP="00762AEC">
            <w:pPr>
              <w:jc w:val="both"/>
            </w:pPr>
            <w:r>
              <w:t>Subcontratos</w:t>
            </w:r>
          </w:p>
        </w:tc>
        <w:tc>
          <w:tcPr>
            <w:tcW w:w="1978" w:type="dxa"/>
          </w:tcPr>
          <w:p w:rsidR="00762AEC" w:rsidRDefault="00762AEC" w:rsidP="00FC569A">
            <w:pPr>
              <w:jc w:val="right"/>
            </w:pPr>
          </w:p>
        </w:tc>
      </w:tr>
      <w:tr w:rsidR="00762AEC" w:rsidTr="00762AEC">
        <w:tc>
          <w:tcPr>
            <w:tcW w:w="6516" w:type="dxa"/>
          </w:tcPr>
          <w:p w:rsidR="00762AEC" w:rsidRDefault="007C27A3" w:rsidP="00762AEC">
            <w:pPr>
              <w:jc w:val="both"/>
            </w:pPr>
            <w:r>
              <w:t>Serviços Especializados</w:t>
            </w:r>
          </w:p>
        </w:tc>
        <w:tc>
          <w:tcPr>
            <w:tcW w:w="1978" w:type="dxa"/>
          </w:tcPr>
          <w:p w:rsidR="00762AEC" w:rsidRDefault="004577E6" w:rsidP="00FC569A">
            <w:pPr>
              <w:jc w:val="right"/>
            </w:pPr>
            <w:r>
              <w:t>14 539,90</w:t>
            </w:r>
          </w:p>
        </w:tc>
      </w:tr>
      <w:tr w:rsidR="00762AEC" w:rsidTr="00762AEC">
        <w:tc>
          <w:tcPr>
            <w:tcW w:w="6516" w:type="dxa"/>
          </w:tcPr>
          <w:p w:rsidR="00762AEC" w:rsidRDefault="007C27A3" w:rsidP="00762AEC">
            <w:pPr>
              <w:jc w:val="both"/>
            </w:pPr>
            <w:r>
              <w:t xml:space="preserve">Materiais </w:t>
            </w:r>
          </w:p>
        </w:tc>
        <w:tc>
          <w:tcPr>
            <w:tcW w:w="1978" w:type="dxa"/>
          </w:tcPr>
          <w:p w:rsidR="00762AEC" w:rsidRDefault="004577E6" w:rsidP="00FC569A">
            <w:pPr>
              <w:jc w:val="right"/>
            </w:pPr>
            <w:r>
              <w:t>899,80</w:t>
            </w:r>
          </w:p>
        </w:tc>
      </w:tr>
      <w:tr w:rsidR="00762AEC" w:rsidTr="00762AEC">
        <w:tc>
          <w:tcPr>
            <w:tcW w:w="6516" w:type="dxa"/>
          </w:tcPr>
          <w:p w:rsidR="00762AEC" w:rsidRDefault="007C27A3" w:rsidP="00762AEC">
            <w:pPr>
              <w:jc w:val="both"/>
            </w:pPr>
            <w:r>
              <w:t>Energia e Fluidos</w:t>
            </w:r>
          </w:p>
        </w:tc>
        <w:tc>
          <w:tcPr>
            <w:tcW w:w="1978" w:type="dxa"/>
          </w:tcPr>
          <w:p w:rsidR="00762AEC" w:rsidRDefault="004577E6" w:rsidP="00FC569A">
            <w:pPr>
              <w:jc w:val="right"/>
            </w:pPr>
            <w:r>
              <w:t>20 428,85</w:t>
            </w:r>
          </w:p>
        </w:tc>
      </w:tr>
      <w:tr w:rsidR="00762AEC" w:rsidTr="00762AEC">
        <w:tc>
          <w:tcPr>
            <w:tcW w:w="6516" w:type="dxa"/>
          </w:tcPr>
          <w:p w:rsidR="00762AEC" w:rsidRDefault="007C27A3" w:rsidP="00762AEC">
            <w:pPr>
              <w:jc w:val="both"/>
            </w:pPr>
            <w:r>
              <w:t>Deslocações, Estadas e Transportes</w:t>
            </w:r>
          </w:p>
        </w:tc>
        <w:tc>
          <w:tcPr>
            <w:tcW w:w="1978" w:type="dxa"/>
          </w:tcPr>
          <w:p w:rsidR="00762AEC" w:rsidRDefault="004577E6" w:rsidP="00FC569A">
            <w:pPr>
              <w:jc w:val="right"/>
            </w:pPr>
            <w:r>
              <w:t>31,60</w:t>
            </w:r>
          </w:p>
        </w:tc>
      </w:tr>
      <w:tr w:rsidR="00762AEC" w:rsidTr="00762AEC">
        <w:tc>
          <w:tcPr>
            <w:tcW w:w="6516" w:type="dxa"/>
          </w:tcPr>
          <w:p w:rsidR="00762AEC" w:rsidRDefault="007C27A3" w:rsidP="00762AEC">
            <w:pPr>
              <w:jc w:val="both"/>
            </w:pPr>
            <w:r>
              <w:t>Serviços Diversos</w:t>
            </w:r>
          </w:p>
        </w:tc>
        <w:tc>
          <w:tcPr>
            <w:tcW w:w="1978" w:type="dxa"/>
          </w:tcPr>
          <w:p w:rsidR="00762AEC" w:rsidRDefault="00A666C5" w:rsidP="00FC569A">
            <w:pPr>
              <w:jc w:val="right"/>
            </w:pPr>
            <w:r>
              <w:t>2</w:t>
            </w:r>
            <w:r w:rsidR="004577E6">
              <w:t>4 037,14</w:t>
            </w:r>
          </w:p>
        </w:tc>
      </w:tr>
      <w:tr w:rsidR="00762AEC" w:rsidTr="00762AEC">
        <w:tc>
          <w:tcPr>
            <w:tcW w:w="6516" w:type="dxa"/>
          </w:tcPr>
          <w:p w:rsidR="00762AEC" w:rsidRDefault="007C27A3" w:rsidP="00762AEC">
            <w:pPr>
              <w:jc w:val="both"/>
            </w:pPr>
            <w:r>
              <w:t>Encargos com Utentes</w:t>
            </w:r>
          </w:p>
        </w:tc>
        <w:tc>
          <w:tcPr>
            <w:tcW w:w="1978" w:type="dxa"/>
          </w:tcPr>
          <w:p w:rsidR="00762AEC" w:rsidRDefault="00762AEC" w:rsidP="00FC569A">
            <w:pPr>
              <w:jc w:val="right"/>
            </w:pPr>
          </w:p>
        </w:tc>
      </w:tr>
      <w:tr w:rsidR="00762AEC" w:rsidRPr="00CB7CA8" w:rsidTr="00762AEC">
        <w:tc>
          <w:tcPr>
            <w:tcW w:w="6516" w:type="dxa"/>
          </w:tcPr>
          <w:p w:rsidR="00762AEC" w:rsidRPr="007C27A3" w:rsidRDefault="007C27A3" w:rsidP="00762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78" w:type="dxa"/>
          </w:tcPr>
          <w:p w:rsidR="00762AEC" w:rsidRPr="00CB7CA8" w:rsidRDefault="00EF7472" w:rsidP="00FC56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77E6">
              <w:rPr>
                <w:b/>
                <w:bCs/>
              </w:rPr>
              <w:t>9 937,29</w:t>
            </w:r>
          </w:p>
        </w:tc>
      </w:tr>
    </w:tbl>
    <w:p w:rsidR="00762AEC" w:rsidRDefault="00762AEC" w:rsidP="00762AEC">
      <w:pPr>
        <w:jc w:val="both"/>
      </w:pPr>
    </w:p>
    <w:p w:rsidR="002E0A4E" w:rsidRDefault="002E0A4E" w:rsidP="007C27A3">
      <w:pPr>
        <w:jc w:val="both"/>
        <w:rPr>
          <w:b/>
          <w:bCs/>
        </w:rPr>
      </w:pPr>
    </w:p>
    <w:p w:rsidR="007C27A3" w:rsidRPr="007C27A3" w:rsidRDefault="007C27A3" w:rsidP="00C20743">
      <w:pPr>
        <w:pStyle w:val="Ttulo2"/>
      </w:pPr>
      <w:bookmarkStart w:id="36" w:name="_Toc78212548"/>
      <w:r w:rsidRPr="007C27A3">
        <w:t>12.11 Outros rendimentos</w:t>
      </w:r>
      <w:bookmarkEnd w:id="36"/>
    </w:p>
    <w:p w:rsidR="007C27A3" w:rsidRDefault="007C27A3" w:rsidP="007C27A3">
      <w:pPr>
        <w:jc w:val="both"/>
      </w:pPr>
      <w:r>
        <w:t>A rubrica de “Outros rendimentos” encontra-se dividida da seguinte forma:</w:t>
      </w:r>
    </w:p>
    <w:tbl>
      <w:tblPr>
        <w:tblStyle w:val="Tabelacomgrelha"/>
        <w:tblW w:w="0" w:type="auto"/>
        <w:tblLook w:val="04A0"/>
      </w:tblPr>
      <w:tblGrid>
        <w:gridCol w:w="6374"/>
        <w:gridCol w:w="2120"/>
      </w:tblGrid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120" w:type="dxa"/>
          </w:tcPr>
          <w:p w:rsidR="007C27A3" w:rsidRPr="007C27A3" w:rsidRDefault="007C27A3" w:rsidP="007C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A0226C">
              <w:rPr>
                <w:b/>
                <w:bCs/>
              </w:rPr>
              <w:t>2</w:t>
            </w: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>Rendimentos Suplementares</w:t>
            </w:r>
          </w:p>
        </w:tc>
        <w:tc>
          <w:tcPr>
            <w:tcW w:w="2120" w:type="dxa"/>
          </w:tcPr>
          <w:p w:rsidR="007C27A3" w:rsidRDefault="00A0226C" w:rsidP="00EF7472">
            <w:pPr>
              <w:jc w:val="right"/>
            </w:pPr>
            <w:r>
              <w:t>547</w:t>
            </w:r>
            <w:r w:rsidR="00EF7472">
              <w:t>,00</w:t>
            </w: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>Rendimentos Ativos Financeiros</w:t>
            </w:r>
          </w:p>
        </w:tc>
        <w:tc>
          <w:tcPr>
            <w:tcW w:w="2120" w:type="dxa"/>
          </w:tcPr>
          <w:p w:rsidR="007C27A3" w:rsidRDefault="007C27A3" w:rsidP="007C27A3">
            <w:pPr>
              <w:jc w:val="both"/>
            </w:pP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>Rendimentos Ativos Não Financeiros</w:t>
            </w:r>
          </w:p>
        </w:tc>
        <w:tc>
          <w:tcPr>
            <w:tcW w:w="2120" w:type="dxa"/>
          </w:tcPr>
          <w:p w:rsidR="007C27A3" w:rsidRDefault="007C27A3" w:rsidP="007C27A3">
            <w:pPr>
              <w:jc w:val="both"/>
            </w:pP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>Outros Rendimentos (Inclui Juros de Depósitos)</w:t>
            </w:r>
          </w:p>
        </w:tc>
        <w:tc>
          <w:tcPr>
            <w:tcW w:w="2120" w:type="dxa"/>
          </w:tcPr>
          <w:p w:rsidR="007C27A3" w:rsidRDefault="00330E2E" w:rsidP="00D20745">
            <w:pPr>
              <w:jc w:val="right"/>
            </w:pPr>
            <w:r>
              <w:t>66 186,07</w:t>
            </w:r>
          </w:p>
        </w:tc>
      </w:tr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20" w:type="dxa"/>
          </w:tcPr>
          <w:p w:rsidR="007C27A3" w:rsidRPr="00D20745" w:rsidRDefault="00330E2E" w:rsidP="00D207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66 733,07</w:t>
            </w:r>
          </w:p>
        </w:tc>
      </w:tr>
    </w:tbl>
    <w:p w:rsidR="00375623" w:rsidRDefault="00375623" w:rsidP="007C27A3">
      <w:pPr>
        <w:jc w:val="both"/>
        <w:rPr>
          <w:b/>
          <w:bCs/>
        </w:rPr>
      </w:pPr>
    </w:p>
    <w:p w:rsidR="00180C82" w:rsidRDefault="00180C82" w:rsidP="007C27A3">
      <w:pPr>
        <w:jc w:val="both"/>
        <w:rPr>
          <w:b/>
          <w:bCs/>
        </w:rPr>
      </w:pPr>
    </w:p>
    <w:p w:rsidR="003324FB" w:rsidRDefault="003324FB" w:rsidP="007C27A3">
      <w:pPr>
        <w:jc w:val="both"/>
        <w:rPr>
          <w:b/>
          <w:bCs/>
        </w:rPr>
      </w:pPr>
    </w:p>
    <w:p w:rsidR="007C27A3" w:rsidRPr="007C27A3" w:rsidRDefault="007C27A3" w:rsidP="00C20743">
      <w:pPr>
        <w:pStyle w:val="Ttulo2"/>
      </w:pPr>
      <w:bookmarkStart w:id="37" w:name="_Toc78212549"/>
      <w:r w:rsidRPr="007C27A3">
        <w:t>12.12 Outros gastos</w:t>
      </w:r>
      <w:bookmarkEnd w:id="37"/>
    </w:p>
    <w:p w:rsidR="007C27A3" w:rsidRDefault="007C27A3" w:rsidP="007C27A3">
      <w:pPr>
        <w:jc w:val="both"/>
      </w:pPr>
      <w:r>
        <w:t>A rubrica de “Outros gastos” encontra-se dividida da seguinte forma:</w:t>
      </w:r>
    </w:p>
    <w:tbl>
      <w:tblPr>
        <w:tblStyle w:val="Tabelacomgrelha"/>
        <w:tblW w:w="0" w:type="auto"/>
        <w:tblLook w:val="04A0"/>
      </w:tblPr>
      <w:tblGrid>
        <w:gridCol w:w="6374"/>
        <w:gridCol w:w="2120"/>
      </w:tblGrid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120" w:type="dxa"/>
          </w:tcPr>
          <w:p w:rsidR="007C27A3" w:rsidRPr="007C27A3" w:rsidRDefault="007C27A3" w:rsidP="007C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330E2E">
              <w:rPr>
                <w:b/>
                <w:bCs/>
              </w:rPr>
              <w:t>2</w:t>
            </w: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>Impostos</w:t>
            </w:r>
          </w:p>
        </w:tc>
        <w:tc>
          <w:tcPr>
            <w:tcW w:w="2120" w:type="dxa"/>
          </w:tcPr>
          <w:p w:rsidR="007C27A3" w:rsidRDefault="007C27A3" w:rsidP="007C27A3">
            <w:pPr>
              <w:jc w:val="both"/>
            </w:pP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proofErr w:type="gramStart"/>
            <w:r>
              <w:lastRenderedPageBreak/>
              <w:t>Dividas</w:t>
            </w:r>
            <w:proofErr w:type="gramEnd"/>
            <w:r>
              <w:t xml:space="preserve"> incobráveis (Associados)</w:t>
            </w:r>
          </w:p>
        </w:tc>
        <w:tc>
          <w:tcPr>
            <w:tcW w:w="2120" w:type="dxa"/>
          </w:tcPr>
          <w:p w:rsidR="007C27A3" w:rsidRDefault="007C27A3" w:rsidP="007C27A3">
            <w:pPr>
              <w:jc w:val="both"/>
            </w:pP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>Outros Gastos</w:t>
            </w:r>
          </w:p>
        </w:tc>
        <w:tc>
          <w:tcPr>
            <w:tcW w:w="2120" w:type="dxa"/>
          </w:tcPr>
          <w:p w:rsidR="007C27A3" w:rsidRDefault="00DF75BE" w:rsidP="00330E2E">
            <w:pPr>
              <w:jc w:val="right"/>
            </w:pPr>
            <w:r>
              <w:t>143</w:t>
            </w:r>
            <w:r w:rsidR="00330E2E">
              <w:t>,</w:t>
            </w:r>
            <w:r>
              <w:t>9</w:t>
            </w:r>
            <w:r w:rsidR="00330E2E">
              <w:t>6</w:t>
            </w:r>
          </w:p>
        </w:tc>
      </w:tr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20" w:type="dxa"/>
          </w:tcPr>
          <w:p w:rsidR="007C27A3" w:rsidRPr="00D20745" w:rsidRDefault="00330E2E" w:rsidP="00D207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F75BE">
              <w:rPr>
                <w:b/>
                <w:bCs/>
              </w:rPr>
              <w:t>4</w:t>
            </w:r>
            <w:r>
              <w:rPr>
                <w:b/>
                <w:bCs/>
              </w:rPr>
              <w:t>3,</w:t>
            </w:r>
            <w:r w:rsidR="00DF75BE">
              <w:rPr>
                <w:b/>
                <w:bCs/>
              </w:rPr>
              <w:t>9</w:t>
            </w:r>
            <w:r>
              <w:rPr>
                <w:b/>
                <w:bCs/>
              </w:rPr>
              <w:t>6</w:t>
            </w:r>
          </w:p>
        </w:tc>
      </w:tr>
    </w:tbl>
    <w:p w:rsidR="00005526" w:rsidRDefault="00005526" w:rsidP="007C27A3">
      <w:pPr>
        <w:jc w:val="both"/>
        <w:rPr>
          <w:b/>
          <w:bCs/>
        </w:rPr>
      </w:pPr>
    </w:p>
    <w:p w:rsidR="00180C82" w:rsidRDefault="00180C82" w:rsidP="007C27A3">
      <w:pPr>
        <w:jc w:val="both"/>
        <w:rPr>
          <w:b/>
          <w:bCs/>
        </w:rPr>
      </w:pPr>
    </w:p>
    <w:p w:rsidR="007C27A3" w:rsidRPr="007C27A3" w:rsidRDefault="007C27A3" w:rsidP="00C20743">
      <w:pPr>
        <w:pStyle w:val="Ttulo2"/>
      </w:pPr>
      <w:bookmarkStart w:id="38" w:name="_Toc78212550"/>
      <w:r w:rsidRPr="007C27A3">
        <w:t>12.13 Resultados Financeiros</w:t>
      </w:r>
      <w:bookmarkEnd w:id="38"/>
    </w:p>
    <w:p w:rsidR="007C27A3" w:rsidRDefault="007C27A3" w:rsidP="007C27A3">
      <w:pPr>
        <w:jc w:val="both"/>
      </w:pPr>
      <w:r>
        <w:t xml:space="preserve">Nos períodos de </w:t>
      </w:r>
      <w:r w:rsidR="004C003B">
        <w:t>202</w:t>
      </w:r>
      <w:r w:rsidR="00330E2E">
        <w:t>2</w:t>
      </w:r>
      <w:r>
        <w:t xml:space="preserve"> foram reconhecidos os seguintes gastos e rendimentos relacionados com juros e similares:</w:t>
      </w:r>
    </w:p>
    <w:tbl>
      <w:tblPr>
        <w:tblStyle w:val="Tabelacomgrelha"/>
        <w:tblW w:w="0" w:type="auto"/>
        <w:tblLook w:val="04A0"/>
      </w:tblPr>
      <w:tblGrid>
        <w:gridCol w:w="6374"/>
        <w:gridCol w:w="2120"/>
      </w:tblGrid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120" w:type="dxa"/>
          </w:tcPr>
          <w:p w:rsidR="007C27A3" w:rsidRPr="007C27A3" w:rsidRDefault="007C27A3" w:rsidP="007C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330E2E">
              <w:rPr>
                <w:b/>
                <w:bCs/>
              </w:rPr>
              <w:t>2</w:t>
            </w:r>
          </w:p>
        </w:tc>
      </w:tr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Juros e Gastos Similares Suportados</w:t>
            </w:r>
          </w:p>
        </w:tc>
        <w:tc>
          <w:tcPr>
            <w:tcW w:w="2120" w:type="dxa"/>
          </w:tcPr>
          <w:p w:rsidR="007C27A3" w:rsidRDefault="007C27A3" w:rsidP="007C27A3">
            <w:pPr>
              <w:jc w:val="both"/>
            </w:pP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>Juros Suportados</w:t>
            </w:r>
          </w:p>
        </w:tc>
        <w:tc>
          <w:tcPr>
            <w:tcW w:w="2120" w:type="dxa"/>
          </w:tcPr>
          <w:p w:rsidR="007C27A3" w:rsidRDefault="00330E2E" w:rsidP="003E59C6">
            <w:pPr>
              <w:jc w:val="right"/>
            </w:pPr>
            <w:r>
              <w:t>7</w:t>
            </w:r>
            <w:r w:rsidR="00DF75BE">
              <w:t>0</w:t>
            </w:r>
            <w:r>
              <w:t>8,</w:t>
            </w:r>
            <w:r w:rsidR="00DF75BE">
              <w:t>0</w:t>
            </w:r>
            <w:r>
              <w:t>7</w:t>
            </w:r>
          </w:p>
        </w:tc>
      </w:tr>
      <w:tr w:rsidR="007C27A3" w:rsidRPr="003E59C6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20" w:type="dxa"/>
          </w:tcPr>
          <w:p w:rsidR="007C27A3" w:rsidRPr="003E59C6" w:rsidRDefault="00330E2E" w:rsidP="003E59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F75BE">
              <w:rPr>
                <w:b/>
                <w:bCs/>
              </w:rPr>
              <w:t>08</w:t>
            </w:r>
            <w:r>
              <w:rPr>
                <w:b/>
                <w:bCs/>
              </w:rPr>
              <w:t>,</w:t>
            </w:r>
            <w:r w:rsidR="00DF75B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</w:tr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Juros e Rendimentos Similares Obtidos</w:t>
            </w:r>
          </w:p>
        </w:tc>
        <w:tc>
          <w:tcPr>
            <w:tcW w:w="2120" w:type="dxa"/>
          </w:tcPr>
          <w:p w:rsidR="007C27A3" w:rsidRDefault="007C27A3" w:rsidP="007C27A3">
            <w:pPr>
              <w:jc w:val="both"/>
            </w:pP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 xml:space="preserve">Juros Obtidos </w:t>
            </w:r>
          </w:p>
        </w:tc>
        <w:tc>
          <w:tcPr>
            <w:tcW w:w="2120" w:type="dxa"/>
          </w:tcPr>
          <w:p w:rsidR="007C27A3" w:rsidRDefault="00DF75BE" w:rsidP="00DF75BE">
            <w:pPr>
              <w:jc w:val="right"/>
            </w:pPr>
            <w:r>
              <w:t>135,57</w:t>
            </w:r>
          </w:p>
        </w:tc>
      </w:tr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20" w:type="dxa"/>
          </w:tcPr>
          <w:p w:rsidR="007C27A3" w:rsidRDefault="00DF75BE" w:rsidP="00DF75BE">
            <w:pPr>
              <w:jc w:val="right"/>
            </w:pPr>
            <w:r>
              <w:t>135,57</w:t>
            </w:r>
          </w:p>
        </w:tc>
      </w:tr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Resultados Financeiros</w:t>
            </w:r>
          </w:p>
        </w:tc>
        <w:tc>
          <w:tcPr>
            <w:tcW w:w="2120" w:type="dxa"/>
          </w:tcPr>
          <w:p w:rsidR="007C27A3" w:rsidRPr="003E59C6" w:rsidRDefault="00DF75BE" w:rsidP="003E59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572,50</w:t>
            </w:r>
          </w:p>
        </w:tc>
      </w:tr>
    </w:tbl>
    <w:p w:rsidR="007C27A3" w:rsidRDefault="007C27A3" w:rsidP="007C27A3">
      <w:pPr>
        <w:jc w:val="both"/>
      </w:pPr>
    </w:p>
    <w:p w:rsidR="00005526" w:rsidRDefault="00005526" w:rsidP="007C27A3">
      <w:pPr>
        <w:jc w:val="both"/>
        <w:rPr>
          <w:b/>
          <w:bCs/>
        </w:rPr>
      </w:pPr>
    </w:p>
    <w:p w:rsidR="007C27A3" w:rsidRPr="007C27A3" w:rsidRDefault="007C27A3" w:rsidP="00C20743">
      <w:pPr>
        <w:pStyle w:val="Ttulo2"/>
      </w:pPr>
      <w:bookmarkStart w:id="39" w:name="_Toc78212551"/>
      <w:r w:rsidRPr="007C27A3">
        <w:t>12.14 Fundadores/beneméritos/patrocionadores/doadores/associados/membros</w:t>
      </w:r>
      <w:bookmarkEnd w:id="39"/>
    </w:p>
    <w:p w:rsidR="007C27A3" w:rsidRDefault="007C27A3" w:rsidP="007C27A3">
      <w:pPr>
        <w:jc w:val="both"/>
      </w:pPr>
      <w:r>
        <w:t xml:space="preserve">A 31 de Dezembro de </w:t>
      </w:r>
      <w:r w:rsidR="004C003B">
        <w:t>202</w:t>
      </w:r>
      <w:r w:rsidR="00330E2E">
        <w:t>2</w:t>
      </w:r>
      <w:r>
        <w:t>, apresentava os seguintes saldos:</w:t>
      </w:r>
    </w:p>
    <w:tbl>
      <w:tblPr>
        <w:tblStyle w:val="Tabelacomgrelha"/>
        <w:tblW w:w="0" w:type="auto"/>
        <w:tblLook w:val="04A0"/>
      </w:tblPr>
      <w:tblGrid>
        <w:gridCol w:w="6374"/>
        <w:gridCol w:w="2120"/>
      </w:tblGrid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120" w:type="dxa"/>
          </w:tcPr>
          <w:p w:rsidR="007C27A3" w:rsidRPr="007C27A3" w:rsidRDefault="007C27A3" w:rsidP="007C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F2D21">
              <w:rPr>
                <w:b/>
                <w:bCs/>
              </w:rPr>
              <w:t>2</w:t>
            </w:r>
            <w:r w:rsidR="00330E2E">
              <w:rPr>
                <w:b/>
                <w:bCs/>
              </w:rPr>
              <w:t>2</w:t>
            </w:r>
          </w:p>
        </w:tc>
      </w:tr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Ativo</w:t>
            </w:r>
          </w:p>
        </w:tc>
        <w:tc>
          <w:tcPr>
            <w:tcW w:w="2120" w:type="dxa"/>
          </w:tcPr>
          <w:p w:rsidR="007C27A3" w:rsidRDefault="007C27A3" w:rsidP="007C27A3">
            <w:pPr>
              <w:jc w:val="both"/>
            </w:pPr>
          </w:p>
        </w:tc>
      </w:tr>
      <w:tr w:rsidR="007C27A3" w:rsidTr="007C27A3">
        <w:tc>
          <w:tcPr>
            <w:tcW w:w="6374" w:type="dxa"/>
          </w:tcPr>
          <w:p w:rsidR="007C27A3" w:rsidRDefault="007C27A3" w:rsidP="007C27A3">
            <w:pPr>
              <w:jc w:val="both"/>
            </w:pPr>
            <w:r>
              <w:t>Quotas</w:t>
            </w:r>
          </w:p>
        </w:tc>
        <w:tc>
          <w:tcPr>
            <w:tcW w:w="2120" w:type="dxa"/>
          </w:tcPr>
          <w:p w:rsidR="007C27A3" w:rsidRDefault="007C27A3" w:rsidP="007C27A3">
            <w:pPr>
              <w:jc w:val="both"/>
            </w:pPr>
          </w:p>
        </w:tc>
      </w:tr>
      <w:tr w:rsidR="007C27A3" w:rsidTr="007C27A3">
        <w:tc>
          <w:tcPr>
            <w:tcW w:w="6374" w:type="dxa"/>
          </w:tcPr>
          <w:p w:rsidR="007C27A3" w:rsidRPr="007C27A3" w:rsidRDefault="007C27A3" w:rsidP="007C27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20" w:type="dxa"/>
          </w:tcPr>
          <w:p w:rsidR="007C27A3" w:rsidRPr="003E59C6" w:rsidRDefault="003E59C6" w:rsidP="003E59C6">
            <w:pPr>
              <w:jc w:val="right"/>
              <w:rPr>
                <w:b/>
                <w:bCs/>
              </w:rPr>
            </w:pPr>
            <w:r w:rsidRPr="003E59C6">
              <w:rPr>
                <w:b/>
                <w:bCs/>
              </w:rPr>
              <w:t>0,00</w:t>
            </w:r>
          </w:p>
        </w:tc>
      </w:tr>
    </w:tbl>
    <w:p w:rsidR="007C27A3" w:rsidRPr="009D17B4" w:rsidRDefault="007C27A3" w:rsidP="007C27A3">
      <w:pPr>
        <w:jc w:val="both"/>
        <w:rPr>
          <w:color w:val="8EAADB" w:themeColor="accent1" w:themeTint="99"/>
        </w:rPr>
      </w:pPr>
    </w:p>
    <w:p w:rsidR="009D17B4" w:rsidRPr="009D17B4" w:rsidRDefault="009D17B4" w:rsidP="009D17B4">
      <w:pPr>
        <w:jc w:val="both"/>
        <w:rPr>
          <w:b/>
          <w:bCs/>
          <w:color w:val="2E74B5" w:themeColor="accent5" w:themeShade="BF"/>
          <w:sz w:val="26"/>
          <w:szCs w:val="26"/>
        </w:rPr>
      </w:pPr>
      <w:r w:rsidRPr="009D17B4">
        <w:rPr>
          <w:b/>
          <w:bCs/>
          <w:color w:val="2E74B5" w:themeColor="accent5" w:themeShade="BF"/>
          <w:sz w:val="26"/>
          <w:szCs w:val="26"/>
        </w:rPr>
        <w:t>12.15 Financiamentos obtidos</w:t>
      </w:r>
    </w:p>
    <w:p w:rsidR="009D17B4" w:rsidRPr="00372B07" w:rsidRDefault="009D17B4" w:rsidP="009D17B4">
      <w:pPr>
        <w:jc w:val="both"/>
      </w:pPr>
      <w:r>
        <w:t xml:space="preserve">No período de </w:t>
      </w:r>
      <w:r w:rsidR="004C003B">
        <w:t>202</w:t>
      </w:r>
      <w:r w:rsidR="00097E4E">
        <w:t>2</w:t>
      </w:r>
      <w:r>
        <w:t xml:space="preserve"> foram contratualizados os seguintes financiamentos:</w:t>
      </w:r>
    </w:p>
    <w:tbl>
      <w:tblPr>
        <w:tblStyle w:val="Tabelacomgrelha"/>
        <w:tblW w:w="0" w:type="auto"/>
        <w:tblLook w:val="04A0"/>
      </w:tblPr>
      <w:tblGrid>
        <w:gridCol w:w="6516"/>
        <w:gridCol w:w="1978"/>
      </w:tblGrid>
      <w:tr w:rsidR="009D17B4" w:rsidRPr="00762AEC" w:rsidTr="00A1234F">
        <w:tc>
          <w:tcPr>
            <w:tcW w:w="6516" w:type="dxa"/>
          </w:tcPr>
          <w:p w:rsidR="009D17B4" w:rsidRPr="00762AEC" w:rsidRDefault="009D17B4" w:rsidP="00A12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978" w:type="dxa"/>
          </w:tcPr>
          <w:p w:rsidR="009D17B4" w:rsidRPr="00762AEC" w:rsidRDefault="009D17B4" w:rsidP="00A12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97E4E">
              <w:rPr>
                <w:b/>
                <w:bCs/>
              </w:rPr>
              <w:t>2</w:t>
            </w:r>
          </w:p>
        </w:tc>
      </w:tr>
      <w:tr w:rsidR="009D17B4" w:rsidTr="00A1234F">
        <w:tc>
          <w:tcPr>
            <w:tcW w:w="6516" w:type="dxa"/>
          </w:tcPr>
          <w:p w:rsidR="009D17B4" w:rsidRPr="00762AEC" w:rsidRDefault="009D17B4" w:rsidP="00A123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Financiamentos obtidos:</w:t>
            </w:r>
          </w:p>
        </w:tc>
        <w:tc>
          <w:tcPr>
            <w:tcW w:w="1978" w:type="dxa"/>
          </w:tcPr>
          <w:p w:rsidR="009D17B4" w:rsidRDefault="009D17B4" w:rsidP="00A1234F">
            <w:pPr>
              <w:jc w:val="right"/>
            </w:pPr>
          </w:p>
        </w:tc>
      </w:tr>
      <w:tr w:rsidR="009D17B4" w:rsidTr="00A1234F">
        <w:tc>
          <w:tcPr>
            <w:tcW w:w="6516" w:type="dxa"/>
          </w:tcPr>
          <w:p w:rsidR="009D17B4" w:rsidRPr="00372B07" w:rsidRDefault="009D17B4" w:rsidP="00A123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Não </w:t>
            </w:r>
            <w:r w:rsidRPr="00372B07">
              <w:rPr>
                <w:b/>
                <w:bCs/>
              </w:rPr>
              <w:t>Corrente</w:t>
            </w:r>
          </w:p>
        </w:tc>
        <w:tc>
          <w:tcPr>
            <w:tcW w:w="1978" w:type="dxa"/>
          </w:tcPr>
          <w:p w:rsidR="009D17B4" w:rsidRDefault="00330E2E" w:rsidP="00A1234F">
            <w:pPr>
              <w:jc w:val="right"/>
            </w:pPr>
            <w:r>
              <w:t>5 814,37</w:t>
            </w:r>
          </w:p>
        </w:tc>
      </w:tr>
      <w:tr w:rsidR="009D17B4" w:rsidRPr="000A522F" w:rsidTr="00A1234F">
        <w:tc>
          <w:tcPr>
            <w:tcW w:w="6516" w:type="dxa"/>
          </w:tcPr>
          <w:p w:rsidR="009D17B4" w:rsidRPr="00762AEC" w:rsidRDefault="009D17B4" w:rsidP="00A123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78" w:type="dxa"/>
          </w:tcPr>
          <w:p w:rsidR="009D17B4" w:rsidRPr="00372B07" w:rsidRDefault="00330E2E" w:rsidP="00A12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5 814,37</w:t>
            </w:r>
          </w:p>
        </w:tc>
      </w:tr>
      <w:tr w:rsidR="009D17B4" w:rsidTr="00A1234F">
        <w:tc>
          <w:tcPr>
            <w:tcW w:w="6516" w:type="dxa"/>
          </w:tcPr>
          <w:p w:rsidR="009D17B4" w:rsidRPr="00762AEC" w:rsidRDefault="009D17B4" w:rsidP="00A123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Corrente</w:t>
            </w:r>
          </w:p>
        </w:tc>
        <w:tc>
          <w:tcPr>
            <w:tcW w:w="1978" w:type="dxa"/>
          </w:tcPr>
          <w:p w:rsidR="009D17B4" w:rsidRPr="00372B07" w:rsidRDefault="00330E2E" w:rsidP="00A1234F">
            <w:pPr>
              <w:jc w:val="right"/>
            </w:pPr>
            <w:r>
              <w:t>4 772,80</w:t>
            </w:r>
          </w:p>
        </w:tc>
      </w:tr>
      <w:tr w:rsidR="009D17B4" w:rsidTr="00A1234F">
        <w:tc>
          <w:tcPr>
            <w:tcW w:w="6516" w:type="dxa"/>
          </w:tcPr>
          <w:p w:rsidR="009D17B4" w:rsidRPr="00372B07" w:rsidRDefault="009D17B4" w:rsidP="00A1234F">
            <w:pPr>
              <w:jc w:val="both"/>
              <w:rPr>
                <w:b/>
                <w:bCs/>
              </w:rPr>
            </w:pPr>
            <w:r w:rsidRPr="00372B07">
              <w:rPr>
                <w:b/>
                <w:bCs/>
              </w:rPr>
              <w:t>TOTAL</w:t>
            </w:r>
          </w:p>
        </w:tc>
        <w:tc>
          <w:tcPr>
            <w:tcW w:w="1978" w:type="dxa"/>
          </w:tcPr>
          <w:p w:rsidR="009D17B4" w:rsidRPr="00FE1256" w:rsidRDefault="00330E2E" w:rsidP="00A12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4772,80</w:t>
            </w:r>
          </w:p>
        </w:tc>
      </w:tr>
    </w:tbl>
    <w:p w:rsidR="00375623" w:rsidRDefault="00375623" w:rsidP="007C27A3">
      <w:pPr>
        <w:jc w:val="both"/>
        <w:rPr>
          <w:b/>
          <w:bCs/>
        </w:rPr>
      </w:pPr>
    </w:p>
    <w:p w:rsidR="00AC1409" w:rsidRDefault="00AC1409" w:rsidP="00EF7472">
      <w:pPr>
        <w:pStyle w:val="Ttulo2"/>
      </w:pPr>
      <w:bookmarkStart w:id="40" w:name="_Toc78212552"/>
    </w:p>
    <w:p w:rsidR="00EF7472" w:rsidRPr="00EF7472" w:rsidRDefault="007C27A3" w:rsidP="00EF7472">
      <w:pPr>
        <w:pStyle w:val="Ttulo2"/>
      </w:pPr>
      <w:r w:rsidRPr="007C27A3">
        <w:t>12.1</w:t>
      </w:r>
      <w:r w:rsidR="00467334">
        <w:t>6</w:t>
      </w:r>
      <w:r w:rsidRPr="007C27A3">
        <w:t xml:space="preserve"> Outras divulgações consideradas relevantes</w:t>
      </w:r>
      <w:proofErr w:type="gramStart"/>
      <w:r w:rsidRPr="007C27A3">
        <w:t>,</w:t>
      </w:r>
      <w:proofErr w:type="gramEnd"/>
      <w:r w:rsidRPr="007C27A3">
        <w:t xml:space="preserve"> para melhor compreensão da posição financeira e dos resultados</w:t>
      </w:r>
      <w:bookmarkEnd w:id="40"/>
    </w:p>
    <w:p w:rsidR="00821D18" w:rsidRPr="00821D18" w:rsidRDefault="00821D18" w:rsidP="00821D18"/>
    <w:p w:rsidR="007C27A3" w:rsidRPr="0003625A" w:rsidRDefault="0003625A" w:rsidP="007C27A3">
      <w:pPr>
        <w:jc w:val="both"/>
      </w:pPr>
      <w:r w:rsidRPr="0003625A">
        <w:lastRenderedPageBreak/>
        <w:t xml:space="preserve">O edifício sede da Associação está </w:t>
      </w:r>
      <w:r w:rsidR="00A477CE" w:rsidRPr="0003625A">
        <w:t>cedido</w:t>
      </w:r>
      <w:r w:rsidRPr="0003625A">
        <w:t xml:space="preserve"> sem quaisquer contrapartidas e o terreno está cedido em direito de superfície pela Camara Municipal de Santiago do Cac</w:t>
      </w:r>
      <w:r w:rsidR="003D2D36">
        <w:t>é</w:t>
      </w:r>
      <w:r w:rsidRPr="0003625A">
        <w:t xml:space="preserve">m onde </w:t>
      </w:r>
      <w:r w:rsidR="007C27A3" w:rsidRPr="0003625A">
        <w:t xml:space="preserve">a instituição desenvolve a sua </w:t>
      </w:r>
      <w:r w:rsidRPr="0003625A">
        <w:t>atividade</w:t>
      </w:r>
      <w:r w:rsidR="007C27A3" w:rsidRPr="0003625A">
        <w:t>.</w:t>
      </w:r>
    </w:p>
    <w:p w:rsidR="007C27A3" w:rsidRDefault="007C27A3" w:rsidP="007C27A3">
      <w:pPr>
        <w:jc w:val="both"/>
      </w:pPr>
      <w:r>
        <w:t xml:space="preserve">O número médio de utentes por resposta social, durante o ano de </w:t>
      </w:r>
      <w:r w:rsidR="004C003B">
        <w:t>202</w:t>
      </w:r>
      <w:r w:rsidR="00330E2E">
        <w:t>2</w:t>
      </w:r>
      <w:r>
        <w:t>, foi o seguinte:</w:t>
      </w:r>
    </w:p>
    <w:p w:rsidR="007C27A3" w:rsidRPr="00970C17" w:rsidRDefault="007C27A3" w:rsidP="007C27A3">
      <w:pPr>
        <w:jc w:val="both"/>
      </w:pPr>
      <w:r w:rsidRPr="00970C17">
        <w:t>Centro de Dia</w:t>
      </w:r>
      <w:r w:rsidR="003D2D36" w:rsidRPr="00970C17">
        <w:t xml:space="preserve">: </w:t>
      </w:r>
      <w:r w:rsidR="00970C17" w:rsidRPr="00970C17">
        <w:t>16</w:t>
      </w:r>
      <w:r w:rsidRPr="00970C17">
        <w:t xml:space="preserve">; </w:t>
      </w:r>
      <w:r w:rsidR="00B85C74" w:rsidRPr="00970C17">
        <w:t>ATL</w:t>
      </w:r>
      <w:r w:rsidRPr="00970C17">
        <w:t xml:space="preserve">: </w:t>
      </w:r>
      <w:r w:rsidR="00970C17" w:rsidRPr="00970C17">
        <w:t>6</w:t>
      </w:r>
      <w:r w:rsidRPr="00970C17">
        <w:t xml:space="preserve">; Serviço de Apoio Domiciliário: </w:t>
      </w:r>
      <w:r w:rsidR="00970C17" w:rsidRPr="00970C17">
        <w:t>20</w:t>
      </w:r>
      <w:r w:rsidR="00AC1409" w:rsidRPr="00970C17">
        <w:t xml:space="preserve"> </w:t>
      </w:r>
    </w:p>
    <w:p w:rsidR="007C27A3" w:rsidRPr="00970C17" w:rsidRDefault="007C27A3" w:rsidP="007C27A3">
      <w:pPr>
        <w:jc w:val="both"/>
      </w:pPr>
      <w:r w:rsidRPr="00970C17">
        <w:t xml:space="preserve">Em </w:t>
      </w:r>
      <w:r w:rsidR="004C003B" w:rsidRPr="00970C17">
        <w:t>202</w:t>
      </w:r>
      <w:r w:rsidR="00330E2E" w:rsidRPr="00970C17">
        <w:t>2</w:t>
      </w:r>
      <w:r w:rsidRPr="00970C17">
        <w:t xml:space="preserve"> a instituição teve </w:t>
      </w:r>
      <w:r w:rsidR="00970C17" w:rsidRPr="00970C17">
        <w:t>57</w:t>
      </w:r>
      <w:r w:rsidR="00330E2E" w:rsidRPr="00970C17">
        <w:t xml:space="preserve"> </w:t>
      </w:r>
      <w:r w:rsidRPr="00970C17">
        <w:t>associados ativos.</w:t>
      </w:r>
      <w:r w:rsidR="003B5F43" w:rsidRPr="00970C17">
        <w:t xml:space="preserve"> </w:t>
      </w:r>
    </w:p>
    <w:p w:rsidR="00C70328" w:rsidRDefault="00C70328" w:rsidP="007C27A3">
      <w:pPr>
        <w:jc w:val="both"/>
      </w:pPr>
    </w:p>
    <w:p w:rsidR="007C27A3" w:rsidRPr="007C27A3" w:rsidRDefault="007C27A3" w:rsidP="00C20743">
      <w:pPr>
        <w:pStyle w:val="Ttulo2"/>
      </w:pPr>
      <w:bookmarkStart w:id="41" w:name="_Toc78212553"/>
      <w:r w:rsidRPr="007C27A3">
        <w:t>12.1</w:t>
      </w:r>
      <w:r w:rsidR="00467334">
        <w:t>7</w:t>
      </w:r>
      <w:r w:rsidRPr="007C27A3">
        <w:t xml:space="preserve"> Acontecimentos após data de Balanço</w:t>
      </w:r>
      <w:bookmarkEnd w:id="41"/>
    </w:p>
    <w:p w:rsidR="00C20743" w:rsidRDefault="00C20743" w:rsidP="007C27A3">
      <w:pPr>
        <w:jc w:val="both"/>
      </w:pPr>
    </w:p>
    <w:p w:rsidR="007C27A3" w:rsidRDefault="007C27A3" w:rsidP="007C27A3">
      <w:pPr>
        <w:jc w:val="both"/>
      </w:pPr>
      <w:r>
        <w:t>Não são conhecidos à data quaisquer eventos subsequentes, com impacto significativo nas Demonstrações Financeiras de 31 de Dezembro de 20</w:t>
      </w:r>
      <w:r w:rsidR="00FA760B">
        <w:t>2</w:t>
      </w:r>
      <w:r w:rsidR="00FA395B">
        <w:t>2</w:t>
      </w:r>
      <w:r>
        <w:t>.</w:t>
      </w:r>
    </w:p>
    <w:p w:rsidR="007C27A3" w:rsidRDefault="007C27A3" w:rsidP="007C27A3">
      <w:pPr>
        <w:jc w:val="both"/>
      </w:pPr>
      <w:r>
        <w:t>Após o encerramento do período, e até à elaboração do presente anexo, não se registaram outros factos suscetíveis de modificar a situação relevada nas contas.</w:t>
      </w:r>
    </w:p>
    <w:p w:rsidR="00B330B3" w:rsidRDefault="00B330B3" w:rsidP="007C27A3">
      <w:pPr>
        <w:jc w:val="both"/>
      </w:pPr>
    </w:p>
    <w:p w:rsidR="003D2D36" w:rsidRPr="00C55EAE" w:rsidRDefault="003D2D36" w:rsidP="003D2D36">
      <w:pPr>
        <w:jc w:val="both"/>
      </w:pPr>
      <w:r w:rsidRPr="00C55EAE">
        <w:t xml:space="preserve">Ademas, </w:t>
      </w:r>
      <w:r w:rsidR="00E22732" w:rsidRPr="00E22732">
        <w:t>31</w:t>
      </w:r>
      <w:r w:rsidR="00E22732">
        <w:rPr>
          <w:color w:val="FF0000"/>
        </w:rPr>
        <w:t xml:space="preserve"> </w:t>
      </w:r>
      <w:r w:rsidR="00467334" w:rsidRPr="00C55EAE">
        <w:t>de</w:t>
      </w:r>
      <w:r w:rsidR="00F132E0">
        <w:t xml:space="preserve"> </w:t>
      </w:r>
      <w:r w:rsidR="004C003B">
        <w:t>Março</w:t>
      </w:r>
      <w:r w:rsidRPr="00C55EAE">
        <w:t xml:space="preserve"> de 20</w:t>
      </w:r>
      <w:r w:rsidR="00F132E0">
        <w:t>2</w:t>
      </w:r>
      <w:r w:rsidR="00FA395B">
        <w:t>3</w:t>
      </w:r>
    </w:p>
    <w:p w:rsidR="00746A1A" w:rsidRDefault="00746A1A" w:rsidP="007C27A3">
      <w:pPr>
        <w:jc w:val="both"/>
      </w:pPr>
    </w:p>
    <w:p w:rsidR="00821D18" w:rsidRDefault="00821D18" w:rsidP="007C27A3">
      <w:pPr>
        <w:jc w:val="both"/>
      </w:pPr>
    </w:p>
    <w:p w:rsidR="007C27A3" w:rsidRDefault="00C20743" w:rsidP="007C27A3">
      <w:pPr>
        <w:jc w:val="both"/>
      </w:pPr>
      <w:r>
        <w:t xml:space="preserve">PRESIDENTE DA </w:t>
      </w:r>
      <w:proofErr w:type="gramStart"/>
      <w:r w:rsidR="00D6093D">
        <w:t xml:space="preserve">DIRECÇÃO                                            </w:t>
      </w:r>
      <w:r>
        <w:t xml:space="preserve">                    </w:t>
      </w:r>
      <w:r w:rsidR="00D6093D">
        <w:t>CONTABILISTA</w:t>
      </w:r>
      <w:proofErr w:type="gramEnd"/>
      <w:r w:rsidR="00D6093D">
        <w:t xml:space="preserve"> CERTIFICADO</w:t>
      </w:r>
    </w:p>
    <w:p w:rsidR="0003625A" w:rsidRDefault="0003625A" w:rsidP="007C27A3">
      <w:pPr>
        <w:jc w:val="both"/>
      </w:pPr>
    </w:p>
    <w:p w:rsidR="00821D18" w:rsidRDefault="00821D18" w:rsidP="007C27A3">
      <w:pPr>
        <w:jc w:val="both"/>
      </w:pPr>
      <w:proofErr w:type="gramStart"/>
      <w:r>
        <w:t>________________________                                                       ___________________________</w:t>
      </w:r>
      <w:proofErr w:type="gramEnd"/>
    </w:p>
    <w:sectPr w:rsidR="00821D18" w:rsidSect="0035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E0" w:rsidRDefault="002008E0" w:rsidP="0071497C">
      <w:pPr>
        <w:spacing w:after="0" w:line="240" w:lineRule="auto"/>
      </w:pPr>
      <w:r>
        <w:separator/>
      </w:r>
    </w:p>
  </w:endnote>
  <w:endnote w:type="continuationSeparator" w:id="0">
    <w:p w:rsidR="002008E0" w:rsidRDefault="002008E0" w:rsidP="007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94" w:rsidRDefault="00C811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6544314"/>
      <w:docPartObj>
        <w:docPartGallery w:val="Page Numbers (Bottom of Page)"/>
        <w:docPartUnique/>
      </w:docPartObj>
    </w:sdtPr>
    <w:sdtContent>
      <w:p w:rsidR="00C20743" w:rsidRDefault="00EB3584">
        <w:pPr>
          <w:pStyle w:val="Rodap"/>
          <w:jc w:val="right"/>
        </w:pPr>
        <w:r>
          <w:fldChar w:fldCharType="begin"/>
        </w:r>
        <w:r w:rsidR="00DD2967">
          <w:instrText>PAGE   \* MERGEFORMAT</w:instrText>
        </w:r>
        <w:r>
          <w:fldChar w:fldCharType="separate"/>
        </w:r>
        <w:r w:rsidR="00970C1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20743" w:rsidRPr="0071497C" w:rsidRDefault="00C20743">
    <w:pPr>
      <w:pStyle w:val="Rodap"/>
      <w:rPr>
        <w:sz w:val="20"/>
        <w:szCs w:val="20"/>
      </w:rPr>
    </w:pPr>
    <w:r w:rsidRPr="0071497C">
      <w:rPr>
        <w:sz w:val="20"/>
        <w:szCs w:val="20"/>
      </w:rPr>
      <w:t>ASSOCIAÇÃO DE BEM ESTAR SOCIAL DA FREGUESIA DE SANTA CRUZ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94" w:rsidRDefault="00C811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E0" w:rsidRDefault="002008E0" w:rsidP="0071497C">
      <w:pPr>
        <w:spacing w:after="0" w:line="240" w:lineRule="auto"/>
      </w:pPr>
      <w:r>
        <w:separator/>
      </w:r>
    </w:p>
  </w:footnote>
  <w:footnote w:type="continuationSeparator" w:id="0">
    <w:p w:rsidR="002008E0" w:rsidRDefault="002008E0" w:rsidP="007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94" w:rsidRDefault="00C811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AA" w:rsidRDefault="00C20743" w:rsidP="0071497C">
    <w:pPr>
      <w:pStyle w:val="Cabealho"/>
      <w:rPr>
        <w:b/>
        <w:bCs/>
        <w:sz w:val="20"/>
        <w:szCs w:val="20"/>
      </w:rPr>
    </w:pPr>
    <w:r w:rsidRPr="0071497C">
      <w:rPr>
        <w:b/>
        <w:bCs/>
        <w:sz w:val="20"/>
        <w:szCs w:val="20"/>
      </w:rPr>
      <w:t xml:space="preserve"> </w:t>
    </w:r>
    <w:r w:rsidR="00350C90" w:rsidRPr="00350C90">
      <w:rPr>
        <w:b/>
        <w:bCs/>
        <w:noProof/>
        <w:sz w:val="20"/>
        <w:szCs w:val="20"/>
        <w:lang w:eastAsia="pt-PT"/>
      </w:rPr>
      <w:drawing>
        <wp:inline distT="0" distB="0" distL="0" distR="0">
          <wp:extent cx="657225" cy="626656"/>
          <wp:effectExtent l="19050" t="0" r="0" b="0"/>
          <wp:docPr id="3" name="Imagem 1" descr="logotipo 2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2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89" cy="62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497C">
      <w:rPr>
        <w:b/>
        <w:bCs/>
        <w:sz w:val="20"/>
        <w:szCs w:val="20"/>
      </w:rPr>
      <w:t xml:space="preserve">                                                                             Anexo às Demonstrações Financeiras de 20</w:t>
    </w:r>
    <w:r w:rsidR="00DC2354">
      <w:rPr>
        <w:b/>
        <w:bCs/>
        <w:sz w:val="20"/>
        <w:szCs w:val="20"/>
      </w:rPr>
      <w:t>2</w:t>
    </w:r>
    <w:r w:rsidR="00C81194">
      <w:rPr>
        <w:b/>
        <w:bCs/>
        <w:sz w:val="20"/>
        <w:szCs w:val="20"/>
      </w:rPr>
      <w:t>2</w:t>
    </w:r>
  </w:p>
  <w:p w:rsidR="00C81194" w:rsidRDefault="00C81194" w:rsidP="0071497C">
    <w:pPr>
      <w:pStyle w:val="Cabealho"/>
      <w:rPr>
        <w:b/>
        <w:bCs/>
        <w:sz w:val="20"/>
        <w:szCs w:val="20"/>
      </w:rPr>
    </w:pPr>
  </w:p>
  <w:p w:rsidR="007C0C1F" w:rsidRPr="00350C90" w:rsidRDefault="00C20743">
    <w:pPr>
      <w:pStyle w:val="Cabealho"/>
      <w:rPr>
        <w:color w:val="4472C4" w:themeColor="accent1"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</w:t>
    </w:r>
  </w:p>
  <w:p w:rsidR="007C0C1F" w:rsidRDefault="007C0C1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94" w:rsidRDefault="00C811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1497C"/>
    <w:rsid w:val="00005526"/>
    <w:rsid w:val="0003625A"/>
    <w:rsid w:val="00043EED"/>
    <w:rsid w:val="00052AE8"/>
    <w:rsid w:val="00057D48"/>
    <w:rsid w:val="00094F0B"/>
    <w:rsid w:val="00097E4E"/>
    <w:rsid w:val="000A522F"/>
    <w:rsid w:val="000B51CC"/>
    <w:rsid w:val="000D331D"/>
    <w:rsid w:val="000D47F2"/>
    <w:rsid w:val="000E47CA"/>
    <w:rsid w:val="00110DFD"/>
    <w:rsid w:val="00120AB1"/>
    <w:rsid w:val="001257C6"/>
    <w:rsid w:val="00155AD1"/>
    <w:rsid w:val="001608CB"/>
    <w:rsid w:val="00180C82"/>
    <w:rsid w:val="001834E2"/>
    <w:rsid w:val="001A3F43"/>
    <w:rsid w:val="001B1735"/>
    <w:rsid w:val="001E03EF"/>
    <w:rsid w:val="001F08FE"/>
    <w:rsid w:val="001F0DCB"/>
    <w:rsid w:val="001F2D1B"/>
    <w:rsid w:val="002008E0"/>
    <w:rsid w:val="00226EFE"/>
    <w:rsid w:val="00242B02"/>
    <w:rsid w:val="00245B91"/>
    <w:rsid w:val="002675E8"/>
    <w:rsid w:val="002771AA"/>
    <w:rsid w:val="00291FA0"/>
    <w:rsid w:val="002B1580"/>
    <w:rsid w:val="002E0A4E"/>
    <w:rsid w:val="002E3F7E"/>
    <w:rsid w:val="00330E2E"/>
    <w:rsid w:val="003324FB"/>
    <w:rsid w:val="0034791E"/>
    <w:rsid w:val="00350C90"/>
    <w:rsid w:val="00352FBC"/>
    <w:rsid w:val="00364C65"/>
    <w:rsid w:val="00370B92"/>
    <w:rsid w:val="00375623"/>
    <w:rsid w:val="003A224F"/>
    <w:rsid w:val="003A3C87"/>
    <w:rsid w:val="003B2657"/>
    <w:rsid w:val="003B5F43"/>
    <w:rsid w:val="003C3551"/>
    <w:rsid w:val="003D2D36"/>
    <w:rsid w:val="003E59C6"/>
    <w:rsid w:val="00421A43"/>
    <w:rsid w:val="00421D2B"/>
    <w:rsid w:val="004577E6"/>
    <w:rsid w:val="00467334"/>
    <w:rsid w:val="004C003B"/>
    <w:rsid w:val="004E0AE5"/>
    <w:rsid w:val="004F0167"/>
    <w:rsid w:val="00506E0F"/>
    <w:rsid w:val="00517993"/>
    <w:rsid w:val="00521F72"/>
    <w:rsid w:val="00526E2C"/>
    <w:rsid w:val="00550C59"/>
    <w:rsid w:val="00580463"/>
    <w:rsid w:val="005830C5"/>
    <w:rsid w:val="00606802"/>
    <w:rsid w:val="006254CC"/>
    <w:rsid w:val="00625D70"/>
    <w:rsid w:val="0063109F"/>
    <w:rsid w:val="00641FC0"/>
    <w:rsid w:val="00665C43"/>
    <w:rsid w:val="00680290"/>
    <w:rsid w:val="0069720F"/>
    <w:rsid w:val="00710E2A"/>
    <w:rsid w:val="0071497C"/>
    <w:rsid w:val="007457B8"/>
    <w:rsid w:val="00746A1A"/>
    <w:rsid w:val="007507FD"/>
    <w:rsid w:val="00762AEC"/>
    <w:rsid w:val="007667F3"/>
    <w:rsid w:val="00784D20"/>
    <w:rsid w:val="007B16C0"/>
    <w:rsid w:val="007C0C1F"/>
    <w:rsid w:val="007C27A3"/>
    <w:rsid w:val="007D370E"/>
    <w:rsid w:val="007F457A"/>
    <w:rsid w:val="007F57AA"/>
    <w:rsid w:val="0081496C"/>
    <w:rsid w:val="00821D18"/>
    <w:rsid w:val="008644A4"/>
    <w:rsid w:val="00867A2B"/>
    <w:rsid w:val="008761BA"/>
    <w:rsid w:val="008871B8"/>
    <w:rsid w:val="0089313B"/>
    <w:rsid w:val="008A703B"/>
    <w:rsid w:val="008B40B5"/>
    <w:rsid w:val="008B6EE0"/>
    <w:rsid w:val="008C081E"/>
    <w:rsid w:val="008E61DD"/>
    <w:rsid w:val="009110FF"/>
    <w:rsid w:val="00931BE0"/>
    <w:rsid w:val="0095630F"/>
    <w:rsid w:val="00970C17"/>
    <w:rsid w:val="009844B7"/>
    <w:rsid w:val="009D17B4"/>
    <w:rsid w:val="009D1BB3"/>
    <w:rsid w:val="009D400F"/>
    <w:rsid w:val="009E072D"/>
    <w:rsid w:val="00A0226C"/>
    <w:rsid w:val="00A20FAC"/>
    <w:rsid w:val="00A32100"/>
    <w:rsid w:val="00A477CE"/>
    <w:rsid w:val="00A56A06"/>
    <w:rsid w:val="00A6171D"/>
    <w:rsid w:val="00A666C5"/>
    <w:rsid w:val="00AA3458"/>
    <w:rsid w:val="00AA607B"/>
    <w:rsid w:val="00AA7C0D"/>
    <w:rsid w:val="00AB5BE8"/>
    <w:rsid w:val="00AC1409"/>
    <w:rsid w:val="00AC4EE5"/>
    <w:rsid w:val="00AC7F42"/>
    <w:rsid w:val="00AE0752"/>
    <w:rsid w:val="00AE234A"/>
    <w:rsid w:val="00AE6A5C"/>
    <w:rsid w:val="00B153ED"/>
    <w:rsid w:val="00B30560"/>
    <w:rsid w:val="00B330B3"/>
    <w:rsid w:val="00B332E4"/>
    <w:rsid w:val="00B85C74"/>
    <w:rsid w:val="00BC3BC4"/>
    <w:rsid w:val="00BE2756"/>
    <w:rsid w:val="00C030A9"/>
    <w:rsid w:val="00C20743"/>
    <w:rsid w:val="00C271F0"/>
    <w:rsid w:val="00C41C47"/>
    <w:rsid w:val="00C43758"/>
    <w:rsid w:val="00C70328"/>
    <w:rsid w:val="00C759F7"/>
    <w:rsid w:val="00C81194"/>
    <w:rsid w:val="00CA7F72"/>
    <w:rsid w:val="00CB7CA8"/>
    <w:rsid w:val="00CE6F0C"/>
    <w:rsid w:val="00CF241B"/>
    <w:rsid w:val="00D20745"/>
    <w:rsid w:val="00D32A89"/>
    <w:rsid w:val="00D46A07"/>
    <w:rsid w:val="00D52FBA"/>
    <w:rsid w:val="00D557BA"/>
    <w:rsid w:val="00D6093D"/>
    <w:rsid w:val="00D613BC"/>
    <w:rsid w:val="00D7654A"/>
    <w:rsid w:val="00DA1565"/>
    <w:rsid w:val="00DC1110"/>
    <w:rsid w:val="00DC2354"/>
    <w:rsid w:val="00DD2701"/>
    <w:rsid w:val="00DD2967"/>
    <w:rsid w:val="00DE24A2"/>
    <w:rsid w:val="00DF2D21"/>
    <w:rsid w:val="00DF75BE"/>
    <w:rsid w:val="00E00821"/>
    <w:rsid w:val="00E01623"/>
    <w:rsid w:val="00E06684"/>
    <w:rsid w:val="00E12F1B"/>
    <w:rsid w:val="00E22732"/>
    <w:rsid w:val="00E241C5"/>
    <w:rsid w:val="00E3265E"/>
    <w:rsid w:val="00E57653"/>
    <w:rsid w:val="00E634A3"/>
    <w:rsid w:val="00EA6F54"/>
    <w:rsid w:val="00EB3584"/>
    <w:rsid w:val="00EC14E7"/>
    <w:rsid w:val="00ED0962"/>
    <w:rsid w:val="00ED4F40"/>
    <w:rsid w:val="00EE200D"/>
    <w:rsid w:val="00EE25DD"/>
    <w:rsid w:val="00EF7472"/>
    <w:rsid w:val="00F132E0"/>
    <w:rsid w:val="00F21B4A"/>
    <w:rsid w:val="00F46C9C"/>
    <w:rsid w:val="00F470B9"/>
    <w:rsid w:val="00F859D8"/>
    <w:rsid w:val="00FA395B"/>
    <w:rsid w:val="00FA760B"/>
    <w:rsid w:val="00FC569A"/>
    <w:rsid w:val="00FD710B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51"/>
  </w:style>
  <w:style w:type="paragraph" w:styleId="Ttulo1">
    <w:name w:val="heading 1"/>
    <w:basedOn w:val="Normal"/>
    <w:next w:val="Normal"/>
    <w:link w:val="Ttulo1Carcter"/>
    <w:uiPriority w:val="9"/>
    <w:qFormat/>
    <w:rsid w:val="00C2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C20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C20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14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97C"/>
  </w:style>
  <w:style w:type="paragraph" w:styleId="Rodap">
    <w:name w:val="footer"/>
    <w:basedOn w:val="Normal"/>
    <w:link w:val="RodapCarcter"/>
    <w:uiPriority w:val="99"/>
    <w:unhideWhenUsed/>
    <w:rsid w:val="00714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97C"/>
  </w:style>
  <w:style w:type="paragraph" w:customStyle="1" w:styleId="Default">
    <w:name w:val="Default"/>
    <w:rsid w:val="00D32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D3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245B9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45B9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45B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45B9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45B91"/>
    <w:rPr>
      <w:b/>
      <w:bCs/>
      <w:sz w:val="20"/>
      <w:szCs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207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207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C2074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dondice">
    <w:name w:val="TOC Heading"/>
    <w:basedOn w:val="Ttulo1"/>
    <w:next w:val="Normal"/>
    <w:uiPriority w:val="39"/>
    <w:unhideWhenUsed/>
    <w:qFormat/>
    <w:rsid w:val="00180C82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180C82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80C8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180C82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180C8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2556-CB9C-4A6A-A0D8-CEADF50D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3909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Utilizador</cp:lastModifiedBy>
  <cp:revision>32</cp:revision>
  <cp:lastPrinted>2023-05-22T13:08:00Z</cp:lastPrinted>
  <dcterms:created xsi:type="dcterms:W3CDTF">2023-05-13T12:34:00Z</dcterms:created>
  <dcterms:modified xsi:type="dcterms:W3CDTF">2023-05-23T11:33:00Z</dcterms:modified>
</cp:coreProperties>
</file>